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0" w:firstLineChars="200"/>
        <w:jc w:val="center"/>
        <w:rPr>
          <w:rFonts w:ascii="仿宋_GB2312" w:hAnsi="仿宋" w:eastAsia="仿宋_GB2312"/>
          <w:sz w:val="36"/>
          <w:szCs w:val="36"/>
        </w:rPr>
      </w:pPr>
    </w:p>
    <w:p>
      <w:pPr>
        <w:spacing w:line="560" w:lineRule="exact"/>
        <w:ind w:firstLine="880" w:firstLineChars="200"/>
        <w:jc w:val="center"/>
        <w:rPr>
          <w:rFonts w:ascii="黑体" w:hAnsi="黑体" w:eastAsia="黑体"/>
          <w:color w:val="FF0000"/>
          <w:sz w:val="44"/>
          <w:szCs w:val="44"/>
        </w:rPr>
      </w:pPr>
      <w:r>
        <w:rPr>
          <w:rFonts w:hint="eastAsia" w:ascii="黑体" w:hAnsi="黑体" w:eastAsia="黑体"/>
          <w:sz w:val="44"/>
          <w:szCs w:val="44"/>
        </w:rPr>
        <w:t>2017年度霸州市城市管理行政执法局决算信息公开情况说明</w:t>
      </w:r>
    </w:p>
    <w:p>
      <w:pPr>
        <w:widowControl/>
        <w:spacing w:line="560" w:lineRule="exact"/>
        <w:ind w:firstLine="640" w:firstLineChars="200"/>
        <w:rPr>
          <w:rFonts w:ascii="仿宋_GB2312" w:hAnsi="仿宋" w:eastAsia="仿宋_GB2312"/>
          <w:color w:val="FF0000"/>
          <w:sz w:val="32"/>
          <w:szCs w:val="32"/>
        </w:rPr>
      </w:pPr>
    </w:p>
    <w:p>
      <w:pPr>
        <w:widowControl/>
        <w:spacing w:line="560" w:lineRule="exact"/>
        <w:ind w:firstLine="640" w:firstLineChars="200"/>
        <w:rPr>
          <w:rFonts w:ascii="宋体" w:hAnsi="宋体"/>
          <w:sz w:val="32"/>
          <w:szCs w:val="32"/>
        </w:rPr>
      </w:pPr>
      <w:r>
        <w:rPr>
          <w:rFonts w:hint="eastAsia" w:ascii="宋体" w:hAnsi="宋体"/>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宋体" w:hAnsi="宋体"/>
          <w:sz w:val="32"/>
          <w:szCs w:val="32"/>
        </w:rPr>
        <w:t>2016</w:t>
      </w:r>
      <w:r>
        <w:rPr>
          <w:rFonts w:hint="eastAsia" w:ascii="宋体" w:hAnsi="宋体" w:cs="宋体"/>
          <w:sz w:val="32"/>
          <w:szCs w:val="32"/>
        </w:rPr>
        <w:t>﹞</w:t>
      </w:r>
      <w:r>
        <w:rPr>
          <w:rFonts w:hint="eastAsia" w:ascii="宋体" w:hAnsi="宋体"/>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w:t>
      </w:r>
      <w:r>
        <w:rPr>
          <w:sz w:val="32"/>
          <w:lang w:eastAsia="zh-CN"/>
        </w:rPr>
        <w:t>）根据国家和省、廊坊市及我市城市管理方面的法律、法规、规章，拟定全市城市管理规章制度，并付诸实施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2</w:t>
      </w:r>
      <w:r>
        <w:rPr>
          <w:sz w:val="32"/>
          <w:lang w:eastAsia="zh-CN"/>
        </w:rPr>
        <w:t>）行使市容环境卫生管理方面法律、法规、规章规定的全部行政处罚权；履行市容环境卫生管理方面法律、法规、规章规定的有关职责</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3</w:t>
      </w:r>
      <w:r>
        <w:rPr>
          <w:sz w:val="32"/>
          <w:lang w:eastAsia="zh-CN"/>
        </w:rPr>
        <w:t>）行使城市绿化管理方面法律、法规、规章规定的全部行政处罚权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4</w:t>
      </w:r>
      <w:r>
        <w:rPr>
          <w:sz w:val="32"/>
          <w:lang w:eastAsia="zh-CN"/>
        </w:rPr>
        <w:t>）行使城乡规划管理方面法律、法规、规章规定的全部行政处罚权；对城乡规划范围内未取得建设工程规划许可证或者违反建设工程规划许可证的建设工程实施处罚；按城市规划行使审核、监督、处罚权；按有关规定和法定程序，强制拆除违法建筑物或者设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5</w:t>
      </w:r>
      <w:r>
        <w:rPr>
          <w:sz w:val="32"/>
          <w:lang w:eastAsia="zh-CN"/>
        </w:rPr>
        <w:t>）行使工商行政管理方面法律、法规、规章规定的对无照商贩的监督管理和行政处罚权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6</w:t>
      </w:r>
      <w:r>
        <w:rPr>
          <w:sz w:val="32"/>
          <w:lang w:eastAsia="zh-CN"/>
        </w:rPr>
        <w:t>）行使对侵占城市规划区内人行道、公共场地等行为的行政处罚权；行使临时占道审批管理权及依法收取占道费</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7</w:t>
      </w:r>
      <w:r>
        <w:rPr>
          <w:sz w:val="32"/>
          <w:lang w:eastAsia="zh-CN"/>
        </w:rPr>
        <w:t>）行使市政、公用设施管理方面法律、法规、规章规定的全部行政处罚权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8</w:t>
      </w:r>
      <w:r>
        <w:rPr>
          <w:sz w:val="32"/>
          <w:lang w:eastAsia="zh-CN"/>
        </w:rPr>
        <w:t>）行使对基础设施施工现场和建筑工地围场作业的监督管理和行政处罚权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9</w:t>
      </w:r>
      <w:r>
        <w:rPr>
          <w:sz w:val="32"/>
          <w:lang w:eastAsia="zh-CN"/>
        </w:rPr>
        <w:t>）行使环境保护方面法律、法规、规章规定的室外噪音扰民等环境污染的行政处罚权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10</w:t>
      </w:r>
      <w:r>
        <w:rPr>
          <w:sz w:val="32"/>
          <w:lang w:eastAsia="zh-CN"/>
        </w:rPr>
        <w:t>）行使对市区各种客运出租车辆的营运审核权和行政处罚权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11</w:t>
      </w:r>
      <w:r>
        <w:rPr>
          <w:sz w:val="32"/>
          <w:lang w:eastAsia="zh-CN"/>
        </w:rPr>
        <w:t>）行使交通运输管理方面法律、法规、规章规定的对市区内散装货物运输的监督管理和行政处罚权</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12</w:t>
      </w:r>
      <w:r>
        <w:rPr>
          <w:sz w:val="32"/>
          <w:lang w:eastAsia="zh-CN"/>
        </w:rPr>
        <w:t>）依据有关法律、法规、规章，负责城市管理相关规定、通告、通知等规范性文件的起草、宣传、贯彻落实工作</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13</w:t>
      </w:r>
      <w:r>
        <w:rPr>
          <w:sz w:val="32"/>
          <w:lang w:eastAsia="zh-CN"/>
        </w:rPr>
        <w:t>）负责受理上级批转的信访案件和群众举报案件及办理人大、政协建议、提案工作</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14</w:t>
      </w:r>
      <w:r>
        <w:rPr>
          <w:sz w:val="32"/>
          <w:lang w:eastAsia="zh-CN"/>
        </w:rPr>
        <w:t>）负责干部职工思想政治教育及业务培训工作，局内党（团）员的发展、教育、管理工作，工、青、妇及计划生育、安全保卫工作</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sz w:val="32"/>
          <w:lang w:eastAsia="zh-CN"/>
        </w:rPr>
      </w:pPr>
      <w:r>
        <w:rPr>
          <w:sz w:val="32"/>
          <w:lang w:eastAsia="zh-CN"/>
        </w:rPr>
        <w:t>（</w:t>
      </w:r>
      <w:r>
        <w:rPr>
          <w:rFonts w:hint="eastAsia"/>
          <w:sz w:val="32"/>
          <w:lang w:eastAsia="zh-CN"/>
        </w:rPr>
        <w:t>15</w:t>
      </w:r>
      <w:r>
        <w:rPr>
          <w:sz w:val="32"/>
          <w:lang w:eastAsia="zh-CN"/>
        </w:rPr>
        <w:t>）履行法律、法规、规章或者省、廊坊市及我市人民政府规定的其他职责</w:t>
      </w:r>
    </w:p>
    <w:p>
      <w:pPr>
        <w:widowControl/>
        <w:spacing w:line="560" w:lineRule="exact"/>
        <w:ind w:firstLine="560" w:firstLineChars="200"/>
        <w:rPr>
          <w:rFonts w:ascii="黑体" w:hAnsi="黑体" w:eastAsia="黑体" w:cs="黑体"/>
          <w:sz w:val="28"/>
          <w:szCs w:val="28"/>
        </w:rPr>
      </w:pP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机构设置：</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1280" w:firstLineChars="400"/>
        <w:rPr>
          <w:sz w:val="32"/>
          <w:lang w:eastAsia="zh-CN"/>
        </w:rPr>
      </w:pPr>
      <w:r>
        <w:rPr>
          <w:sz w:val="32"/>
          <w:lang w:eastAsia="zh-CN"/>
        </w:rPr>
        <w:t>部门机构设置情况</w:t>
      </w:r>
    </w:p>
    <w:tbl>
      <w:tblPr>
        <w:tblStyle w:val="5"/>
        <w:tblW w:w="9686" w:type="dxa"/>
        <w:jc w:val="center"/>
        <w:tblInd w:w="-5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2"/>
        <w:gridCol w:w="1617"/>
        <w:gridCol w:w="1701"/>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902" w:type="dxa"/>
            <w:vMerge w:val="restart"/>
            <w:vAlign w:val="center"/>
          </w:tcPr>
          <w:p>
            <w:pPr>
              <w:spacing w:line="560" w:lineRule="exact"/>
              <w:ind w:firstLine="1455" w:firstLineChars="690"/>
              <w:rPr>
                <w:rFonts w:ascii="宋体" w:hAnsi="宋体"/>
                <w:b/>
              </w:rPr>
            </w:pPr>
            <w:r>
              <w:rPr>
                <w:rFonts w:ascii="宋体" w:hAnsi="宋体"/>
                <w:b/>
              </w:rPr>
              <w:t>单位名称</w:t>
            </w:r>
          </w:p>
        </w:tc>
        <w:tc>
          <w:tcPr>
            <w:tcW w:w="1617" w:type="dxa"/>
            <w:vMerge w:val="restart"/>
            <w:vAlign w:val="center"/>
          </w:tcPr>
          <w:p>
            <w:pPr>
              <w:spacing w:line="560" w:lineRule="exact"/>
              <w:ind w:firstLine="207" w:firstLineChars="98"/>
              <w:rPr>
                <w:rFonts w:ascii="宋体" w:hAnsi="宋体"/>
                <w:b/>
              </w:rPr>
            </w:pPr>
            <w:r>
              <w:rPr>
                <w:rFonts w:ascii="宋体" w:hAnsi="宋体"/>
                <w:b/>
              </w:rPr>
              <w:t>单位性质</w:t>
            </w:r>
          </w:p>
        </w:tc>
        <w:tc>
          <w:tcPr>
            <w:tcW w:w="1701" w:type="dxa"/>
            <w:vMerge w:val="restart"/>
            <w:vAlign w:val="center"/>
          </w:tcPr>
          <w:p>
            <w:pPr>
              <w:spacing w:line="560" w:lineRule="exact"/>
              <w:ind w:firstLine="207" w:firstLineChars="98"/>
              <w:rPr>
                <w:rFonts w:ascii="宋体" w:hAnsi="宋体"/>
                <w:b/>
              </w:rPr>
            </w:pPr>
            <w:r>
              <w:rPr>
                <w:rFonts w:ascii="宋体" w:hAnsi="宋体"/>
                <w:b/>
              </w:rPr>
              <w:t>单位规格</w:t>
            </w:r>
          </w:p>
        </w:tc>
        <w:tc>
          <w:tcPr>
            <w:tcW w:w="2466" w:type="dxa"/>
            <w:vMerge w:val="restart"/>
            <w:vAlign w:val="center"/>
          </w:tcPr>
          <w:p>
            <w:pPr>
              <w:spacing w:line="560" w:lineRule="exact"/>
              <w:ind w:firstLine="422" w:firstLineChars="200"/>
              <w:rPr>
                <w:rFonts w:ascii="宋体" w:hAnsi="宋体"/>
                <w:b/>
              </w:rPr>
            </w:pPr>
            <w:r>
              <w:rPr>
                <w:rFonts w:ascii="宋体" w:hAnsi="宋体"/>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902" w:type="dxa"/>
            <w:vMerge w:val="continue"/>
            <w:vAlign w:val="center"/>
          </w:tcPr>
          <w:p>
            <w:pPr>
              <w:spacing w:line="560" w:lineRule="exact"/>
              <w:ind w:firstLine="420" w:firstLineChars="200"/>
              <w:jc w:val="center"/>
              <w:outlineLvl w:val="0"/>
            </w:pPr>
          </w:p>
        </w:tc>
        <w:tc>
          <w:tcPr>
            <w:tcW w:w="1617" w:type="dxa"/>
            <w:vMerge w:val="continue"/>
            <w:vAlign w:val="center"/>
          </w:tcPr>
          <w:p>
            <w:pPr>
              <w:spacing w:line="560" w:lineRule="exact"/>
              <w:ind w:firstLine="420" w:firstLineChars="200"/>
              <w:jc w:val="center"/>
              <w:outlineLvl w:val="0"/>
            </w:pPr>
          </w:p>
        </w:tc>
        <w:tc>
          <w:tcPr>
            <w:tcW w:w="1701" w:type="dxa"/>
            <w:vMerge w:val="continue"/>
            <w:vAlign w:val="center"/>
          </w:tcPr>
          <w:p>
            <w:pPr>
              <w:spacing w:line="560" w:lineRule="exact"/>
              <w:ind w:firstLine="420" w:firstLineChars="200"/>
              <w:jc w:val="center"/>
              <w:outlineLvl w:val="0"/>
            </w:pPr>
          </w:p>
        </w:tc>
        <w:tc>
          <w:tcPr>
            <w:tcW w:w="2466" w:type="dxa"/>
            <w:vMerge w:val="continue"/>
            <w:vAlign w:val="center"/>
          </w:tcPr>
          <w:p>
            <w:pPr>
              <w:spacing w:line="560" w:lineRule="exact"/>
              <w:ind w:firstLine="420" w:firstLineChars="200"/>
              <w:jc w:val="center"/>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6" w:hRule="atLeast"/>
          <w:jc w:val="center"/>
        </w:trPr>
        <w:tc>
          <w:tcPr>
            <w:tcW w:w="3902" w:type="dxa"/>
            <w:vAlign w:val="center"/>
          </w:tcPr>
          <w:p>
            <w:pPr>
              <w:spacing w:line="560" w:lineRule="exact"/>
              <w:ind w:firstLine="480" w:firstLineChars="200"/>
              <w:rPr>
                <w:rFonts w:ascii="宋体" w:hAnsi="宋体"/>
                <w:kern w:val="0"/>
                <w:sz w:val="24"/>
                <w:szCs w:val="24"/>
              </w:rPr>
            </w:pPr>
            <w:r>
              <w:rPr>
                <w:rFonts w:hint="eastAsia" w:ascii="宋体" w:hAnsi="宋体"/>
                <w:kern w:val="0"/>
                <w:sz w:val="24"/>
                <w:szCs w:val="24"/>
              </w:rPr>
              <w:t>霸州市城市管理行政执法局</w:t>
            </w:r>
          </w:p>
        </w:tc>
        <w:tc>
          <w:tcPr>
            <w:tcW w:w="1617" w:type="dxa"/>
            <w:vAlign w:val="center"/>
          </w:tcPr>
          <w:p>
            <w:pPr>
              <w:spacing w:line="560" w:lineRule="exact"/>
              <w:ind w:firstLine="480" w:firstLineChars="200"/>
              <w:rPr>
                <w:rFonts w:ascii="宋体" w:hAnsi="宋体"/>
                <w:kern w:val="0"/>
                <w:sz w:val="24"/>
                <w:szCs w:val="24"/>
              </w:rPr>
            </w:pPr>
            <w:r>
              <w:rPr>
                <w:rFonts w:ascii="宋体" w:hAnsi="宋体"/>
                <w:kern w:val="0"/>
                <w:sz w:val="24"/>
                <w:szCs w:val="24"/>
              </w:rPr>
              <w:t>行政</w:t>
            </w:r>
          </w:p>
        </w:tc>
        <w:tc>
          <w:tcPr>
            <w:tcW w:w="1701" w:type="dxa"/>
            <w:vAlign w:val="center"/>
          </w:tcPr>
          <w:p>
            <w:pPr>
              <w:spacing w:line="560" w:lineRule="exact"/>
              <w:jc w:val="center"/>
              <w:rPr>
                <w:rFonts w:ascii="宋体" w:hAnsi="宋体"/>
                <w:kern w:val="0"/>
                <w:sz w:val="24"/>
                <w:szCs w:val="24"/>
              </w:rPr>
            </w:pPr>
            <w:r>
              <w:rPr>
                <w:rFonts w:ascii="宋体" w:hAnsi="宋体"/>
                <w:kern w:val="0"/>
                <w:sz w:val="24"/>
                <w:szCs w:val="24"/>
              </w:rPr>
              <w:t>正</w:t>
            </w:r>
            <w:r>
              <w:rPr>
                <w:rFonts w:hint="eastAsia" w:ascii="宋体" w:hAnsi="宋体"/>
                <w:kern w:val="0"/>
                <w:sz w:val="24"/>
                <w:szCs w:val="24"/>
              </w:rPr>
              <w:t>科</w:t>
            </w:r>
            <w:r>
              <w:rPr>
                <w:rFonts w:ascii="宋体" w:hAnsi="宋体"/>
                <w:kern w:val="0"/>
                <w:sz w:val="24"/>
                <w:szCs w:val="24"/>
              </w:rPr>
              <w:t>级</w:t>
            </w:r>
          </w:p>
        </w:tc>
        <w:tc>
          <w:tcPr>
            <w:tcW w:w="2466" w:type="dxa"/>
            <w:vAlign w:val="center"/>
          </w:tcPr>
          <w:p>
            <w:pPr>
              <w:spacing w:line="560" w:lineRule="exact"/>
              <w:ind w:firstLine="600" w:firstLineChars="250"/>
              <w:rPr>
                <w:rFonts w:ascii="宋体" w:hAnsi="宋体"/>
                <w:kern w:val="0"/>
                <w:sz w:val="24"/>
                <w:szCs w:val="24"/>
              </w:rPr>
            </w:pPr>
            <w:r>
              <w:rPr>
                <w:rFonts w:ascii="宋体" w:hAnsi="宋体"/>
                <w:kern w:val="0"/>
                <w:sz w:val="24"/>
                <w:szCs w:val="24"/>
              </w:rPr>
              <w:t>财政拨款</w:t>
            </w:r>
          </w:p>
        </w:tc>
      </w:tr>
    </w:tbl>
    <w:p>
      <w:pPr>
        <w:spacing w:line="560" w:lineRule="exact"/>
        <w:ind w:firstLine="560" w:firstLineChars="200"/>
        <w:rPr>
          <w:rFonts w:ascii="宋体" w:hAnsi="宋体" w:cs="仿宋"/>
          <w:b/>
          <w:bCs/>
          <w:sz w:val="28"/>
          <w:szCs w:val="28"/>
        </w:rPr>
      </w:pPr>
      <w:r>
        <w:rPr>
          <w:rFonts w:hint="eastAsia" w:ascii="宋体" w:hAnsi="宋体" w:cs="仿宋"/>
          <w:sz w:val="28"/>
          <w:szCs w:val="28"/>
        </w:rPr>
        <w:t>（注：</w:t>
      </w:r>
      <w:r>
        <w:rPr>
          <w:rFonts w:hint="eastAsia" w:ascii="宋体" w:hAnsi="宋体" w:cs="仿宋"/>
          <w:bCs/>
          <w:sz w:val="28"/>
          <w:szCs w:val="28"/>
        </w:rPr>
        <w:t>我单位为1级预算单位，无下属单位，无汇总决算</w:t>
      </w:r>
      <w:r>
        <w:rPr>
          <w:rFonts w:ascii="宋体" w:hAnsi="宋体" w:cs="仿宋"/>
          <w:bCs/>
          <w:sz w:val="28"/>
          <w:szCs w:val="28"/>
        </w:rPr>
        <w:t>）</w:t>
      </w:r>
    </w:p>
    <w:p>
      <w:pPr>
        <w:spacing w:line="560" w:lineRule="exact"/>
        <w:ind w:firstLine="640" w:firstLineChars="200"/>
        <w:rPr>
          <w:rFonts w:ascii="黑体" w:hAnsi="黑体" w:eastAsia="黑体"/>
          <w:sz w:val="32"/>
          <w:szCs w:val="32"/>
        </w:rPr>
      </w:pPr>
      <w:r>
        <w:rPr>
          <w:rFonts w:hint="eastAsia" w:eastAsia="黑体"/>
          <w:sz w:val="32"/>
          <w:szCs w:val="32"/>
        </w:rPr>
        <w:t>二、</w:t>
      </w:r>
      <w:r>
        <w:rPr>
          <w:rFonts w:hint="eastAsia" w:ascii="黑体" w:hAnsi="黑体" w:eastAsia="黑体"/>
          <w:sz w:val="32"/>
          <w:szCs w:val="32"/>
        </w:rPr>
        <w:t>部门决算报表（见附表）</w:t>
      </w:r>
    </w:p>
    <w:p>
      <w:pPr>
        <w:pStyle w:val="4"/>
        <w:spacing w:before="0" w:beforeAutospacing="0" w:after="0" w:afterAutospacing="0" w:line="600" w:lineRule="exact"/>
        <w:ind w:firstLine="640" w:firstLineChars="200"/>
        <w:rPr>
          <w:color w:val="000000"/>
          <w:sz w:val="32"/>
          <w:szCs w:val="32"/>
        </w:rPr>
      </w:pPr>
      <w:r>
        <w:rPr>
          <w:color w:val="000000"/>
          <w:sz w:val="32"/>
          <w:szCs w:val="32"/>
        </w:rPr>
        <w:t>（一）</w:t>
      </w:r>
      <w:r>
        <w:rPr>
          <w:rFonts w:hint="eastAsia"/>
          <w:color w:val="000000"/>
          <w:sz w:val="32"/>
          <w:szCs w:val="32"/>
        </w:rPr>
        <w:t>收入支出决算总表</w:t>
      </w:r>
    </w:p>
    <w:p>
      <w:pPr>
        <w:pStyle w:val="4"/>
        <w:spacing w:before="0" w:beforeAutospacing="0" w:after="0" w:afterAutospacing="0" w:line="600" w:lineRule="exact"/>
        <w:ind w:firstLine="640" w:firstLineChars="200"/>
        <w:rPr>
          <w:color w:val="000000"/>
          <w:sz w:val="32"/>
          <w:szCs w:val="32"/>
        </w:rPr>
      </w:pPr>
      <w:r>
        <w:rPr>
          <w:color w:val="000000"/>
          <w:sz w:val="32"/>
          <w:szCs w:val="32"/>
        </w:rPr>
        <w:t>（二）</w:t>
      </w:r>
      <w:r>
        <w:rPr>
          <w:rFonts w:hint="eastAsia"/>
          <w:color w:val="000000"/>
          <w:sz w:val="32"/>
          <w:szCs w:val="32"/>
        </w:rPr>
        <w:t>收入决算表</w:t>
      </w:r>
    </w:p>
    <w:p>
      <w:pPr>
        <w:pStyle w:val="4"/>
        <w:spacing w:before="0" w:beforeAutospacing="0" w:after="0" w:afterAutospacing="0" w:line="600" w:lineRule="exact"/>
        <w:ind w:firstLine="640" w:firstLineChars="200"/>
        <w:rPr>
          <w:color w:val="000000"/>
          <w:sz w:val="32"/>
          <w:szCs w:val="32"/>
        </w:rPr>
      </w:pPr>
      <w:r>
        <w:rPr>
          <w:color w:val="000000"/>
          <w:sz w:val="32"/>
          <w:szCs w:val="32"/>
        </w:rPr>
        <w:t>（三）</w:t>
      </w:r>
      <w:r>
        <w:rPr>
          <w:rFonts w:hint="eastAsia"/>
          <w:color w:val="000000"/>
          <w:sz w:val="32"/>
          <w:szCs w:val="32"/>
        </w:rPr>
        <w:t>支出决算表</w:t>
      </w:r>
    </w:p>
    <w:p>
      <w:pPr>
        <w:pStyle w:val="4"/>
        <w:spacing w:before="0" w:beforeAutospacing="0" w:after="0" w:afterAutospacing="0" w:line="600" w:lineRule="exact"/>
        <w:ind w:firstLine="640" w:firstLineChars="200"/>
        <w:rPr>
          <w:color w:val="000000"/>
          <w:sz w:val="32"/>
          <w:szCs w:val="32"/>
        </w:rPr>
      </w:pPr>
      <w:r>
        <w:rPr>
          <w:color w:val="000000"/>
          <w:sz w:val="32"/>
          <w:szCs w:val="32"/>
        </w:rPr>
        <w:t>（四）</w:t>
      </w:r>
      <w:r>
        <w:rPr>
          <w:rFonts w:hint="eastAsia"/>
          <w:color w:val="000000"/>
          <w:sz w:val="32"/>
          <w:szCs w:val="32"/>
        </w:rPr>
        <w:t>财政拨款收入支出决算总表</w:t>
      </w:r>
    </w:p>
    <w:p>
      <w:pPr>
        <w:pStyle w:val="4"/>
        <w:spacing w:before="0" w:beforeAutospacing="0" w:after="0" w:afterAutospacing="0" w:line="600" w:lineRule="exact"/>
        <w:ind w:firstLine="640" w:firstLineChars="200"/>
        <w:rPr>
          <w:color w:val="000000"/>
          <w:sz w:val="32"/>
          <w:szCs w:val="32"/>
        </w:rPr>
      </w:pPr>
      <w:r>
        <w:rPr>
          <w:color w:val="000000"/>
          <w:sz w:val="32"/>
          <w:szCs w:val="32"/>
        </w:rPr>
        <w:t>（五）一般公共预算财政拨款</w:t>
      </w:r>
      <w:r>
        <w:rPr>
          <w:rFonts w:hint="eastAsia"/>
          <w:color w:val="000000"/>
          <w:sz w:val="32"/>
          <w:szCs w:val="32"/>
        </w:rPr>
        <w:t>收入</w:t>
      </w:r>
      <w:r>
        <w:rPr>
          <w:color w:val="000000"/>
          <w:sz w:val="32"/>
          <w:szCs w:val="32"/>
        </w:rPr>
        <w:t>支出决算表</w:t>
      </w:r>
    </w:p>
    <w:p>
      <w:pPr>
        <w:pStyle w:val="4"/>
        <w:spacing w:before="0" w:beforeAutospacing="0" w:after="0" w:afterAutospacing="0" w:line="600" w:lineRule="exact"/>
        <w:ind w:firstLine="640" w:firstLineChars="200"/>
        <w:rPr>
          <w:color w:val="000000"/>
          <w:sz w:val="32"/>
          <w:szCs w:val="32"/>
        </w:rPr>
      </w:pPr>
      <w:r>
        <w:rPr>
          <w:color w:val="000000"/>
          <w:sz w:val="32"/>
          <w:szCs w:val="32"/>
        </w:rPr>
        <w:t>（六）一般公共预算财政拨款基本支出决算表</w:t>
      </w:r>
    </w:p>
    <w:p>
      <w:pPr>
        <w:pStyle w:val="4"/>
        <w:spacing w:before="0" w:beforeAutospacing="0" w:after="0" w:afterAutospacing="0" w:line="600" w:lineRule="exact"/>
        <w:ind w:firstLine="640" w:firstLineChars="200"/>
        <w:rPr>
          <w:color w:val="000000"/>
          <w:sz w:val="32"/>
          <w:szCs w:val="32"/>
        </w:rPr>
      </w:pPr>
      <w:r>
        <w:rPr>
          <w:rFonts w:hint="eastAsia"/>
          <w:color w:val="000000"/>
          <w:sz w:val="32"/>
          <w:szCs w:val="32"/>
        </w:rPr>
        <w:t>（七）政府性基金预算财政拨款收入支出决算表</w:t>
      </w:r>
    </w:p>
    <w:p>
      <w:pPr>
        <w:pStyle w:val="4"/>
        <w:spacing w:before="0" w:beforeAutospacing="0" w:after="0" w:afterAutospacing="0" w:line="600" w:lineRule="exact"/>
        <w:ind w:firstLine="640" w:firstLineChars="200"/>
        <w:rPr>
          <w:color w:val="000000"/>
          <w:sz w:val="32"/>
          <w:szCs w:val="32"/>
        </w:rPr>
      </w:pPr>
      <w:r>
        <w:rPr>
          <w:rFonts w:hint="eastAsia"/>
          <w:color w:val="000000"/>
          <w:sz w:val="32"/>
          <w:szCs w:val="32"/>
        </w:rPr>
        <w:t>（八）国有资本经营预算财政拨款收入支出决算表</w:t>
      </w:r>
    </w:p>
    <w:p>
      <w:pPr>
        <w:pStyle w:val="4"/>
        <w:spacing w:before="0" w:beforeAutospacing="0" w:after="0" w:afterAutospacing="0" w:line="600" w:lineRule="exact"/>
        <w:ind w:firstLine="640" w:firstLineChars="200"/>
        <w:rPr>
          <w:color w:val="000000"/>
          <w:sz w:val="32"/>
          <w:szCs w:val="32"/>
        </w:rPr>
      </w:pPr>
      <w:r>
        <w:rPr>
          <w:rFonts w:hint="eastAsia"/>
          <w:color w:val="000000"/>
          <w:sz w:val="32"/>
          <w:szCs w:val="32"/>
        </w:rPr>
        <w:t>（九）</w:t>
      </w:r>
      <w:r>
        <w:rPr>
          <w:color w:val="000000"/>
          <w:sz w:val="32"/>
          <w:szCs w:val="32"/>
        </w:rPr>
        <w:t>“三公”经费及相关信息统计表</w:t>
      </w:r>
    </w:p>
    <w:p>
      <w:pPr>
        <w:pStyle w:val="4"/>
        <w:spacing w:before="0" w:beforeAutospacing="0" w:after="0" w:afterAutospacing="0" w:line="600" w:lineRule="exact"/>
        <w:ind w:firstLine="640" w:firstLineChars="200"/>
        <w:rPr>
          <w:color w:val="000000"/>
          <w:sz w:val="32"/>
          <w:szCs w:val="32"/>
        </w:rPr>
      </w:pPr>
      <w:r>
        <w:rPr>
          <w:rFonts w:hint="eastAsia"/>
          <w:color w:val="000000"/>
          <w:sz w:val="32"/>
          <w:szCs w:val="32"/>
        </w:rPr>
        <w:t>（十）</w:t>
      </w:r>
      <w:r>
        <w:rPr>
          <w:color w:val="000000"/>
          <w:sz w:val="32"/>
          <w:szCs w:val="32"/>
        </w:rPr>
        <w:t>政府采购情况表</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napToGrid w:val="0"/>
        <w:spacing w:line="560" w:lineRule="exact"/>
        <w:ind w:firstLine="640" w:firstLineChars="200"/>
        <w:rPr>
          <w:rFonts w:ascii="黑体" w:hAnsi="楷体" w:eastAsia="黑体" w:cs="楷体"/>
          <w:bCs/>
          <w:sz w:val="32"/>
          <w:szCs w:val="32"/>
        </w:rPr>
      </w:pPr>
      <w:r>
        <w:rPr>
          <w:rFonts w:hint="eastAsia" w:ascii="黑体" w:hAnsi="楷体" w:eastAsia="黑体" w:cs="楷体"/>
          <w:bCs/>
          <w:sz w:val="32"/>
          <w:szCs w:val="32"/>
        </w:rPr>
        <w:t>（一）收入支出决算总体情况说明</w:t>
      </w:r>
    </w:p>
    <w:p>
      <w:pPr>
        <w:snapToGrid w:val="0"/>
        <w:spacing w:line="560" w:lineRule="exact"/>
        <w:ind w:firstLine="640" w:firstLineChars="200"/>
        <w:rPr>
          <w:rFonts w:ascii="宋体" w:hAnsi="宋体"/>
          <w:color w:val="FF0000"/>
          <w:sz w:val="32"/>
          <w:szCs w:val="32"/>
        </w:rPr>
      </w:pPr>
      <w:r>
        <w:rPr>
          <w:rFonts w:hint="eastAsia" w:ascii="宋体" w:hAnsi="宋体"/>
          <w:sz w:val="32"/>
          <w:szCs w:val="32"/>
        </w:rPr>
        <w:t>本部门</w:t>
      </w:r>
      <w:r>
        <w:rPr>
          <w:rFonts w:ascii="宋体" w:hAnsi="宋体"/>
          <w:sz w:val="32"/>
          <w:szCs w:val="32"/>
        </w:rPr>
        <w:t>201</w:t>
      </w:r>
      <w:r>
        <w:rPr>
          <w:rFonts w:hint="eastAsia" w:ascii="宋体" w:hAnsi="宋体"/>
          <w:sz w:val="32"/>
          <w:szCs w:val="32"/>
        </w:rPr>
        <w:t>7</w:t>
      </w:r>
      <w:r>
        <w:rPr>
          <w:rFonts w:ascii="宋体" w:hAnsi="宋体"/>
          <w:sz w:val="32"/>
          <w:szCs w:val="32"/>
        </w:rPr>
        <w:t>年</w:t>
      </w:r>
      <w:r>
        <w:rPr>
          <w:rFonts w:hint="eastAsia" w:ascii="宋体" w:hAnsi="宋体"/>
          <w:sz w:val="32"/>
          <w:szCs w:val="32"/>
        </w:rPr>
        <w:t>度</w:t>
      </w:r>
      <w:r>
        <w:rPr>
          <w:rFonts w:ascii="宋体" w:hAnsi="宋体"/>
          <w:color w:val="000000"/>
          <w:sz w:val="32"/>
        </w:rPr>
        <w:t>决算收入总计</w:t>
      </w:r>
      <w:r>
        <w:rPr>
          <w:rFonts w:hint="eastAsia" w:ascii="宋体" w:hAnsi="宋体"/>
          <w:sz w:val="32"/>
          <w:szCs w:val="32"/>
        </w:rPr>
        <w:t>3428.78</w:t>
      </w:r>
      <w:r>
        <w:rPr>
          <w:rFonts w:ascii="宋体" w:hAnsi="宋体"/>
          <w:color w:val="000000"/>
          <w:sz w:val="32"/>
        </w:rPr>
        <w:t>万元，决算支出总计</w:t>
      </w:r>
      <w:r>
        <w:rPr>
          <w:rFonts w:hint="eastAsia" w:ascii="宋体" w:hAnsi="宋体"/>
          <w:sz w:val="32"/>
          <w:szCs w:val="32"/>
        </w:rPr>
        <w:t>3766.42</w:t>
      </w:r>
      <w:r>
        <w:rPr>
          <w:rFonts w:ascii="宋体" w:hAnsi="宋体"/>
          <w:color w:val="000000"/>
          <w:sz w:val="32"/>
        </w:rPr>
        <w:t>万元。</w:t>
      </w:r>
      <w:r>
        <w:rPr>
          <w:rFonts w:hint="eastAsia" w:ascii="宋体" w:hAnsi="宋体"/>
          <w:color w:val="000000"/>
          <w:sz w:val="32"/>
        </w:rPr>
        <w:t>决算收入</w:t>
      </w:r>
      <w:r>
        <w:rPr>
          <w:rFonts w:ascii="宋体" w:hAnsi="宋体"/>
          <w:color w:val="000000"/>
          <w:sz w:val="32"/>
        </w:rPr>
        <w:t>与2016年</w:t>
      </w:r>
      <w:r>
        <w:rPr>
          <w:rFonts w:hint="eastAsia" w:ascii="宋体" w:hAnsi="宋体"/>
          <w:color w:val="000000"/>
          <w:sz w:val="32"/>
        </w:rPr>
        <w:t>度决算</w:t>
      </w:r>
      <w:r>
        <w:rPr>
          <w:rFonts w:ascii="宋体" w:hAnsi="宋体"/>
          <w:color w:val="000000"/>
          <w:sz w:val="32"/>
        </w:rPr>
        <w:t>相比，</w:t>
      </w:r>
      <w:r>
        <w:rPr>
          <w:rFonts w:hint="eastAsia" w:ascii="宋体" w:hAnsi="宋体"/>
          <w:sz w:val="32"/>
        </w:rPr>
        <w:t>增加1005.04</w:t>
      </w:r>
      <w:r>
        <w:rPr>
          <w:rFonts w:ascii="宋体" w:hAnsi="宋体"/>
          <w:color w:val="000000"/>
          <w:sz w:val="32"/>
        </w:rPr>
        <w:t>万元，</w:t>
      </w:r>
      <w:r>
        <w:rPr>
          <w:rFonts w:hint="eastAsia" w:ascii="宋体" w:hAnsi="宋体"/>
          <w:sz w:val="32"/>
        </w:rPr>
        <w:t>增长41.47</w:t>
      </w:r>
      <w:r>
        <w:rPr>
          <w:rFonts w:ascii="宋体" w:hAnsi="宋体"/>
          <w:color w:val="000000"/>
          <w:sz w:val="32"/>
        </w:rPr>
        <w:t>%，主要原因是</w:t>
      </w:r>
      <w:r>
        <w:rPr>
          <w:rFonts w:hint="eastAsia" w:ascii="宋体" w:hAnsi="宋体"/>
          <w:sz w:val="32"/>
          <w:szCs w:val="32"/>
        </w:rPr>
        <w:t>2017年度</w:t>
      </w:r>
      <w:r>
        <w:rPr>
          <w:rFonts w:hint="eastAsia" w:ascii="宋体" w:hAnsi="宋体"/>
          <w:color w:val="000000"/>
          <w:sz w:val="32"/>
        </w:rPr>
        <w:t>户外广告规划设计费、违章建筑及牌匾拆除费、</w:t>
      </w:r>
      <w:r>
        <w:rPr>
          <w:rFonts w:hint="eastAsia" w:ascii="宋体" w:hAnsi="宋体"/>
          <w:sz w:val="32"/>
          <w:szCs w:val="32"/>
        </w:rPr>
        <w:t>三轮车治理、大气污染治理、人员经费等收支有所增加</w:t>
      </w:r>
      <w:r>
        <w:rPr>
          <w:rFonts w:hint="eastAsia" w:ascii="宋体" w:hAnsi="宋体"/>
          <w:sz w:val="32"/>
          <w:szCs w:val="32"/>
          <w:lang w:eastAsia="zh-CN"/>
        </w:rPr>
        <w:t>；</w:t>
      </w:r>
      <w:r>
        <w:rPr>
          <w:rFonts w:hint="eastAsia" w:ascii="宋体" w:hAnsi="宋体" w:cs="仿宋"/>
          <w:sz w:val="32"/>
          <w:szCs w:val="32"/>
        </w:rPr>
        <w:t>决算支出</w:t>
      </w:r>
      <w:r>
        <w:rPr>
          <w:rFonts w:hint="eastAsia" w:ascii="宋体" w:hAnsi="宋体" w:cs="仿宋"/>
          <w:sz w:val="32"/>
          <w:szCs w:val="32"/>
          <w:lang w:val="en-US" w:eastAsia="zh-CN"/>
        </w:rPr>
        <w:t>与</w:t>
      </w:r>
      <w:r>
        <w:rPr>
          <w:rFonts w:hint="eastAsia" w:ascii="宋体" w:hAnsi="宋体" w:cs="仿宋"/>
          <w:sz w:val="32"/>
          <w:szCs w:val="32"/>
        </w:rPr>
        <w:t>2016年</w:t>
      </w:r>
      <w:r>
        <w:rPr>
          <w:rFonts w:hint="eastAsia" w:ascii="宋体" w:hAnsi="宋体" w:cs="仿宋"/>
          <w:sz w:val="32"/>
        </w:rPr>
        <w:t>度</w:t>
      </w:r>
      <w:r>
        <w:rPr>
          <w:rFonts w:hint="eastAsia" w:ascii="宋体" w:hAnsi="宋体" w:cs="仿宋"/>
          <w:sz w:val="32"/>
          <w:lang w:val="en-US" w:eastAsia="zh-CN"/>
        </w:rPr>
        <w:t>决算相比，</w:t>
      </w:r>
      <w:r>
        <w:rPr>
          <w:rFonts w:hint="eastAsia" w:ascii="宋体" w:hAnsi="宋体" w:cs="仿宋"/>
          <w:sz w:val="32"/>
          <w:szCs w:val="32"/>
        </w:rPr>
        <w:t>增加1086.52万元，</w:t>
      </w:r>
      <w:r>
        <w:rPr>
          <w:rFonts w:hint="eastAsia" w:ascii="宋体" w:hAnsi="宋体" w:cs="仿宋"/>
          <w:sz w:val="32"/>
        </w:rPr>
        <w:t>增长40.54%，主要原因是</w:t>
      </w:r>
      <w:r>
        <w:rPr>
          <w:rFonts w:hint="eastAsia" w:ascii="宋体" w:hAnsi="宋体"/>
          <w:sz w:val="32"/>
          <w:szCs w:val="32"/>
        </w:rPr>
        <w:t>2017年度</w:t>
      </w:r>
      <w:r>
        <w:rPr>
          <w:rFonts w:hint="eastAsia" w:ascii="宋体" w:hAnsi="宋体"/>
          <w:sz w:val="32"/>
        </w:rPr>
        <w:t>户外广告规划设计费、违章建筑及牌匾拆除费、</w:t>
      </w:r>
      <w:r>
        <w:rPr>
          <w:rFonts w:hint="eastAsia" w:ascii="宋体" w:hAnsi="宋体"/>
          <w:sz w:val="32"/>
          <w:szCs w:val="32"/>
        </w:rPr>
        <w:t>三轮车治理、大气污染治理、人员经费等收支有所增加</w:t>
      </w:r>
      <w:r>
        <w:rPr>
          <w:rFonts w:ascii="宋体" w:hAnsi="宋体"/>
          <w:sz w:val="32"/>
        </w:rPr>
        <w:t>。</w:t>
      </w:r>
    </w:p>
    <w:p>
      <w:pPr>
        <w:snapToGrid w:val="0"/>
        <w:spacing w:line="560" w:lineRule="exact"/>
        <w:ind w:firstLine="643" w:firstLineChars="200"/>
        <w:rPr>
          <w:rFonts w:ascii="黑体" w:hAnsi="楷体" w:eastAsia="黑体" w:cs="楷体"/>
          <w:b w:val="0"/>
          <w:bCs w:val="0"/>
          <w:sz w:val="32"/>
          <w:szCs w:val="32"/>
        </w:rPr>
      </w:pPr>
      <w:r>
        <w:rPr>
          <w:rFonts w:hint="eastAsia" w:ascii="黑体" w:hAnsi="楷体" w:eastAsia="黑体" w:cs="楷体"/>
          <w:b/>
          <w:bCs/>
          <w:sz w:val="32"/>
          <w:szCs w:val="32"/>
        </w:rPr>
        <w:t>（二）</w:t>
      </w:r>
      <w:r>
        <w:rPr>
          <w:rFonts w:hint="eastAsia" w:ascii="黑体" w:hAnsi="楷体" w:eastAsia="黑体" w:cs="楷体"/>
          <w:b w:val="0"/>
          <w:bCs w:val="0"/>
          <w:sz w:val="32"/>
          <w:szCs w:val="32"/>
        </w:rPr>
        <w:t>收入决算情况说明</w:t>
      </w:r>
    </w:p>
    <w:p>
      <w:pPr>
        <w:widowControl/>
        <w:spacing w:line="560" w:lineRule="exact"/>
        <w:ind w:firstLine="640" w:firstLineChars="200"/>
        <w:rPr>
          <w:rFonts w:ascii="宋体" w:hAnsi="宋体"/>
          <w:sz w:val="32"/>
          <w:szCs w:val="32"/>
        </w:rPr>
      </w:pPr>
      <w:r>
        <w:rPr>
          <w:rFonts w:hint="eastAsia" w:ascii="宋体" w:hAnsi="宋体"/>
          <w:sz w:val="32"/>
          <w:szCs w:val="32"/>
        </w:rPr>
        <w:t>本部门</w:t>
      </w:r>
      <w:r>
        <w:rPr>
          <w:rFonts w:ascii="宋体" w:hAnsi="宋体"/>
          <w:sz w:val="32"/>
          <w:szCs w:val="32"/>
        </w:rPr>
        <w:t>201</w:t>
      </w:r>
      <w:r>
        <w:rPr>
          <w:rFonts w:hint="eastAsia" w:ascii="宋体" w:hAnsi="宋体"/>
          <w:sz w:val="32"/>
          <w:szCs w:val="32"/>
        </w:rPr>
        <w:t>7</w:t>
      </w:r>
      <w:r>
        <w:rPr>
          <w:rFonts w:ascii="宋体" w:hAnsi="宋体"/>
          <w:sz w:val="32"/>
          <w:szCs w:val="32"/>
        </w:rPr>
        <w:t>年</w:t>
      </w:r>
      <w:r>
        <w:rPr>
          <w:rFonts w:hint="eastAsia" w:ascii="宋体" w:hAnsi="宋体"/>
          <w:sz w:val="32"/>
          <w:szCs w:val="32"/>
        </w:rPr>
        <w:t>度</w:t>
      </w:r>
      <w:r>
        <w:rPr>
          <w:rFonts w:ascii="宋体" w:hAnsi="宋体"/>
          <w:sz w:val="32"/>
          <w:szCs w:val="32"/>
        </w:rPr>
        <w:t>收入</w:t>
      </w:r>
      <w:r>
        <w:rPr>
          <w:rFonts w:hint="eastAsia" w:ascii="宋体" w:hAnsi="宋体"/>
          <w:sz w:val="32"/>
          <w:szCs w:val="32"/>
        </w:rPr>
        <w:t>合计3428.78</w:t>
      </w:r>
      <w:r>
        <w:rPr>
          <w:rFonts w:ascii="宋体" w:hAnsi="宋体"/>
          <w:sz w:val="32"/>
          <w:szCs w:val="32"/>
        </w:rPr>
        <w:t>万元，其中</w:t>
      </w:r>
      <w:r>
        <w:rPr>
          <w:rFonts w:hint="eastAsia" w:ascii="宋体" w:hAnsi="宋体"/>
          <w:sz w:val="32"/>
          <w:szCs w:val="32"/>
        </w:rPr>
        <w:t>财政拨款收入3428.78</w:t>
      </w:r>
      <w:r>
        <w:rPr>
          <w:rFonts w:ascii="宋体" w:hAnsi="宋体"/>
          <w:sz w:val="32"/>
          <w:szCs w:val="32"/>
        </w:rPr>
        <w:t>万元</w:t>
      </w:r>
      <w:r>
        <w:rPr>
          <w:rFonts w:hint="eastAsia" w:ascii="宋体" w:hAnsi="宋体"/>
          <w:sz w:val="32"/>
          <w:szCs w:val="32"/>
        </w:rPr>
        <w:t>，占比100%；事业收入0万元，占比0%；其他收入0万元，占比0%。</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widowControl/>
        <w:spacing w:line="560" w:lineRule="exact"/>
        <w:ind w:firstLine="640" w:firstLineChars="200"/>
        <w:rPr>
          <w:rFonts w:ascii="宋体" w:hAnsi="宋体"/>
          <w:sz w:val="32"/>
          <w:szCs w:val="32"/>
        </w:rPr>
      </w:pPr>
      <w:r>
        <w:rPr>
          <w:rFonts w:hint="eastAsia" w:ascii="宋体" w:hAnsi="宋体"/>
          <w:sz w:val="32"/>
          <w:szCs w:val="32"/>
        </w:rPr>
        <w:t>本部门</w:t>
      </w:r>
      <w:r>
        <w:rPr>
          <w:rFonts w:ascii="宋体" w:hAnsi="宋体"/>
          <w:sz w:val="32"/>
          <w:szCs w:val="32"/>
        </w:rPr>
        <w:t>201</w:t>
      </w:r>
      <w:r>
        <w:rPr>
          <w:rFonts w:hint="eastAsia" w:ascii="宋体" w:hAnsi="宋体"/>
          <w:sz w:val="32"/>
          <w:szCs w:val="32"/>
        </w:rPr>
        <w:t>7</w:t>
      </w:r>
      <w:r>
        <w:rPr>
          <w:rFonts w:ascii="宋体" w:hAnsi="宋体"/>
          <w:sz w:val="32"/>
          <w:szCs w:val="32"/>
        </w:rPr>
        <w:t>年部门</w:t>
      </w:r>
      <w:r>
        <w:rPr>
          <w:rFonts w:hint="eastAsia" w:ascii="宋体" w:hAnsi="宋体"/>
          <w:sz w:val="32"/>
          <w:szCs w:val="32"/>
        </w:rPr>
        <w:t>决</w:t>
      </w:r>
      <w:r>
        <w:rPr>
          <w:rFonts w:ascii="宋体" w:hAnsi="宋体"/>
          <w:sz w:val="32"/>
          <w:szCs w:val="32"/>
        </w:rPr>
        <w:t>算支出为</w:t>
      </w:r>
      <w:r>
        <w:rPr>
          <w:rFonts w:hint="eastAsia" w:ascii="宋体" w:hAnsi="宋体"/>
          <w:sz w:val="32"/>
          <w:szCs w:val="32"/>
        </w:rPr>
        <w:t>3766.42</w:t>
      </w:r>
      <w:r>
        <w:rPr>
          <w:rFonts w:ascii="宋体" w:hAnsi="宋体"/>
          <w:sz w:val="32"/>
          <w:szCs w:val="32"/>
        </w:rPr>
        <w:t>万元，其中：基本支出</w:t>
      </w:r>
      <w:r>
        <w:rPr>
          <w:rFonts w:hint="eastAsia" w:ascii="宋体" w:hAnsi="宋体"/>
          <w:sz w:val="32"/>
          <w:szCs w:val="32"/>
        </w:rPr>
        <w:t>3230.75</w:t>
      </w:r>
      <w:r>
        <w:rPr>
          <w:rFonts w:ascii="宋体" w:hAnsi="宋体"/>
          <w:sz w:val="32"/>
          <w:szCs w:val="32"/>
        </w:rPr>
        <w:t>万元，</w:t>
      </w:r>
      <w:r>
        <w:rPr>
          <w:rFonts w:hint="eastAsia" w:ascii="宋体" w:hAnsi="宋体"/>
          <w:sz w:val="32"/>
          <w:szCs w:val="32"/>
        </w:rPr>
        <w:t>占比86.78%，</w:t>
      </w:r>
      <w:r>
        <w:rPr>
          <w:rFonts w:ascii="宋体" w:hAnsi="宋体"/>
          <w:sz w:val="32"/>
          <w:szCs w:val="32"/>
        </w:rPr>
        <w:t>包含人员经费支出</w:t>
      </w:r>
      <w:r>
        <w:rPr>
          <w:rFonts w:hint="eastAsia" w:ascii="宋体" w:hAnsi="宋体"/>
          <w:sz w:val="32"/>
          <w:szCs w:val="32"/>
        </w:rPr>
        <w:t>2919.85</w:t>
      </w:r>
      <w:r>
        <w:rPr>
          <w:rFonts w:ascii="宋体" w:hAnsi="宋体"/>
          <w:sz w:val="32"/>
          <w:szCs w:val="32"/>
        </w:rPr>
        <w:t>万元和日常公用经费支出</w:t>
      </w:r>
      <w:r>
        <w:rPr>
          <w:rFonts w:hint="eastAsia" w:ascii="宋体" w:hAnsi="宋体"/>
          <w:sz w:val="32"/>
          <w:szCs w:val="32"/>
        </w:rPr>
        <w:t>310.90</w:t>
      </w:r>
      <w:r>
        <w:rPr>
          <w:rFonts w:ascii="宋体" w:hAnsi="宋体"/>
          <w:sz w:val="32"/>
          <w:szCs w:val="32"/>
        </w:rPr>
        <w:t>万元；项目支出</w:t>
      </w:r>
      <w:r>
        <w:rPr>
          <w:rFonts w:hint="eastAsia" w:ascii="宋体" w:hAnsi="宋体"/>
          <w:sz w:val="32"/>
          <w:szCs w:val="32"/>
        </w:rPr>
        <w:t>535.68</w:t>
      </w:r>
      <w:r>
        <w:rPr>
          <w:rFonts w:ascii="宋体" w:hAnsi="宋体"/>
          <w:sz w:val="32"/>
          <w:szCs w:val="32"/>
        </w:rPr>
        <w:t>万元</w:t>
      </w:r>
      <w:r>
        <w:rPr>
          <w:rFonts w:hint="eastAsia" w:ascii="宋体" w:hAnsi="宋体"/>
          <w:sz w:val="32"/>
          <w:szCs w:val="32"/>
        </w:rPr>
        <w:t>，占比13.22%</w:t>
      </w:r>
      <w:r>
        <w:rPr>
          <w:rFonts w:ascii="宋体" w:hAnsi="宋体"/>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0" w:firstLineChars="200"/>
        <w:rPr>
          <w:rFonts w:ascii="宋体" w:hAnsi="宋体"/>
          <w:color w:val="FF0000"/>
          <w:sz w:val="32"/>
          <w:szCs w:val="32"/>
        </w:rPr>
      </w:pPr>
      <w:r>
        <w:rPr>
          <w:rFonts w:hint="eastAsia" w:ascii="宋体" w:hAnsi="宋体"/>
          <w:sz w:val="32"/>
          <w:szCs w:val="32"/>
        </w:rPr>
        <w:t>本部门</w:t>
      </w:r>
      <w:r>
        <w:rPr>
          <w:rFonts w:ascii="宋体" w:hAnsi="宋体"/>
          <w:sz w:val="32"/>
          <w:szCs w:val="32"/>
        </w:rPr>
        <w:t>201</w:t>
      </w:r>
      <w:r>
        <w:rPr>
          <w:rFonts w:hint="eastAsia" w:ascii="宋体" w:hAnsi="宋体"/>
          <w:sz w:val="32"/>
          <w:szCs w:val="32"/>
        </w:rPr>
        <w:t>7</w:t>
      </w:r>
      <w:r>
        <w:rPr>
          <w:rFonts w:ascii="宋体" w:hAnsi="宋体"/>
          <w:sz w:val="32"/>
          <w:szCs w:val="32"/>
        </w:rPr>
        <w:t>年</w:t>
      </w:r>
      <w:r>
        <w:rPr>
          <w:rFonts w:hint="eastAsia" w:ascii="宋体" w:hAnsi="宋体"/>
          <w:sz w:val="32"/>
          <w:szCs w:val="32"/>
        </w:rPr>
        <w:t>度</w:t>
      </w:r>
      <w:r>
        <w:rPr>
          <w:rFonts w:ascii="宋体" w:hAnsi="宋体"/>
          <w:color w:val="000000"/>
          <w:sz w:val="32"/>
        </w:rPr>
        <w:t>决算收入总计</w:t>
      </w:r>
      <w:r>
        <w:rPr>
          <w:rFonts w:hint="eastAsia" w:ascii="宋体" w:hAnsi="宋体"/>
          <w:sz w:val="32"/>
          <w:szCs w:val="32"/>
        </w:rPr>
        <w:t>3428.78</w:t>
      </w:r>
      <w:r>
        <w:rPr>
          <w:rFonts w:ascii="宋体" w:hAnsi="宋体"/>
          <w:color w:val="000000"/>
          <w:sz w:val="32"/>
        </w:rPr>
        <w:t>万元，决算支出总计</w:t>
      </w:r>
      <w:r>
        <w:rPr>
          <w:rFonts w:hint="eastAsia" w:ascii="宋体" w:hAnsi="宋体"/>
          <w:sz w:val="32"/>
          <w:szCs w:val="32"/>
        </w:rPr>
        <w:t>3766.42</w:t>
      </w:r>
      <w:r>
        <w:rPr>
          <w:rFonts w:ascii="宋体" w:hAnsi="宋体"/>
          <w:color w:val="000000"/>
          <w:sz w:val="32"/>
        </w:rPr>
        <w:t>万元。</w:t>
      </w:r>
      <w:r>
        <w:rPr>
          <w:rFonts w:hint="eastAsia" w:ascii="宋体" w:hAnsi="宋体"/>
          <w:color w:val="000000"/>
          <w:sz w:val="32"/>
        </w:rPr>
        <w:t>决算收入</w:t>
      </w:r>
      <w:r>
        <w:rPr>
          <w:rFonts w:ascii="宋体" w:hAnsi="宋体"/>
          <w:color w:val="000000"/>
          <w:sz w:val="32"/>
        </w:rPr>
        <w:t>与2016年</w:t>
      </w:r>
      <w:r>
        <w:rPr>
          <w:rFonts w:hint="eastAsia" w:ascii="宋体" w:hAnsi="宋体"/>
          <w:color w:val="000000"/>
          <w:sz w:val="32"/>
        </w:rPr>
        <w:t>度决算</w:t>
      </w:r>
      <w:r>
        <w:rPr>
          <w:rFonts w:ascii="宋体" w:hAnsi="宋体"/>
          <w:color w:val="000000"/>
          <w:sz w:val="32"/>
        </w:rPr>
        <w:t>相比，</w:t>
      </w:r>
      <w:r>
        <w:rPr>
          <w:rFonts w:hint="eastAsia" w:ascii="宋体" w:hAnsi="宋体"/>
          <w:sz w:val="32"/>
        </w:rPr>
        <w:t>增加1005.04</w:t>
      </w:r>
      <w:r>
        <w:rPr>
          <w:rFonts w:ascii="宋体" w:hAnsi="宋体"/>
          <w:color w:val="000000"/>
          <w:sz w:val="32"/>
        </w:rPr>
        <w:t>万元，</w:t>
      </w:r>
      <w:r>
        <w:rPr>
          <w:rFonts w:hint="eastAsia" w:ascii="宋体" w:hAnsi="宋体"/>
          <w:sz w:val="32"/>
        </w:rPr>
        <w:t>增长41.47</w:t>
      </w:r>
      <w:r>
        <w:rPr>
          <w:rFonts w:ascii="宋体" w:hAnsi="宋体"/>
          <w:color w:val="000000"/>
          <w:sz w:val="32"/>
        </w:rPr>
        <w:t>%，主要原因是</w:t>
      </w:r>
      <w:r>
        <w:rPr>
          <w:rFonts w:hint="eastAsia" w:ascii="宋体" w:hAnsi="宋体"/>
          <w:sz w:val="32"/>
          <w:szCs w:val="32"/>
        </w:rPr>
        <w:t>2017年度</w:t>
      </w:r>
      <w:r>
        <w:rPr>
          <w:rFonts w:hint="eastAsia" w:ascii="宋体" w:hAnsi="宋体"/>
          <w:color w:val="000000"/>
          <w:sz w:val="32"/>
        </w:rPr>
        <w:t>户外广告规划设计费、违章建筑及牌匾拆除费、</w:t>
      </w:r>
      <w:r>
        <w:rPr>
          <w:rFonts w:hint="eastAsia" w:ascii="宋体" w:hAnsi="宋体"/>
          <w:sz w:val="32"/>
          <w:szCs w:val="32"/>
        </w:rPr>
        <w:t>三轮车治理、大气污染治理、人员经费等收支有所增加</w:t>
      </w:r>
      <w:r>
        <w:rPr>
          <w:rFonts w:ascii="宋体" w:hAnsi="宋体"/>
          <w:color w:val="000000"/>
          <w:sz w:val="32"/>
        </w:rPr>
        <w:t>。</w:t>
      </w:r>
      <w:r>
        <w:rPr>
          <w:rFonts w:hint="eastAsia" w:ascii="宋体" w:hAnsi="宋体"/>
          <w:color w:val="000000"/>
          <w:sz w:val="32"/>
        </w:rPr>
        <w:t>决算支出与2017年预算相比，增加1007.78万元，增长36.53</w:t>
      </w:r>
      <w:r>
        <w:rPr>
          <w:rFonts w:ascii="宋体" w:hAnsi="宋体"/>
          <w:color w:val="000000"/>
          <w:sz w:val="32"/>
        </w:rPr>
        <w:t>%</w:t>
      </w:r>
      <w:r>
        <w:rPr>
          <w:rFonts w:hint="eastAsia" w:ascii="宋体" w:hAnsi="宋体"/>
          <w:color w:val="000000"/>
          <w:sz w:val="32"/>
        </w:rPr>
        <w:t>，主要原因是保障数字运行费用支出及系统软件购置、城市管理费用、宣传围挡制作、城市管理费用有所增长。</w:t>
      </w:r>
    </w:p>
    <w:p>
      <w:pPr>
        <w:widowControl/>
        <w:spacing w:line="560" w:lineRule="exact"/>
        <w:ind w:firstLine="643" w:firstLineChars="200"/>
        <w:rPr>
          <w:rFonts w:ascii="仿宋" w:hAnsi="仿宋" w:eastAsia="仿宋" w:cs="仿宋"/>
          <w:b/>
          <w:bCs/>
          <w:color w:val="FF0000"/>
          <w:sz w:val="32"/>
          <w:szCs w:val="32"/>
        </w:rPr>
      </w:pPr>
      <w:r>
        <w:rPr>
          <w:rFonts w:hint="eastAsia" w:ascii="仿宋" w:hAnsi="仿宋" w:eastAsia="仿宋" w:cs="仿宋"/>
          <w:b/>
          <w:bCs/>
          <w:sz w:val="32"/>
        </w:rPr>
        <w:t>1、财政拨款收支与2016年度决算对比情况</w:t>
      </w:r>
    </w:p>
    <w:p>
      <w:pPr>
        <w:snapToGrid w:val="0"/>
        <w:spacing w:line="560" w:lineRule="exact"/>
        <w:ind w:firstLine="640" w:firstLineChars="200"/>
        <w:rPr>
          <w:rFonts w:ascii="宋体" w:hAnsi="宋体" w:cs="仿宋"/>
          <w:sz w:val="32"/>
        </w:rPr>
      </w:pPr>
      <w:r>
        <w:rPr>
          <w:rFonts w:hint="eastAsia" w:ascii="宋体" w:hAnsi="宋体" w:cs="仿宋"/>
          <w:sz w:val="32"/>
          <w:szCs w:val="32"/>
        </w:rPr>
        <w:t>本部门2017年财政拨款收入决算总计3428.78万元，较2016年</w:t>
      </w:r>
      <w:r>
        <w:rPr>
          <w:rFonts w:hint="eastAsia" w:ascii="宋体" w:hAnsi="宋体" w:cs="仿宋"/>
          <w:sz w:val="32"/>
        </w:rPr>
        <w:t>度决算</w:t>
      </w:r>
      <w:r>
        <w:rPr>
          <w:rFonts w:hint="eastAsia" w:ascii="宋体" w:hAnsi="宋体" w:cs="仿宋"/>
          <w:sz w:val="32"/>
          <w:szCs w:val="32"/>
        </w:rPr>
        <w:t>增加1005.04万元，</w:t>
      </w:r>
      <w:r>
        <w:rPr>
          <w:rFonts w:hint="eastAsia" w:ascii="宋体" w:hAnsi="宋体" w:cs="仿宋"/>
          <w:sz w:val="32"/>
        </w:rPr>
        <w:t>增长41.47%，主要原因是</w:t>
      </w:r>
      <w:r>
        <w:rPr>
          <w:rFonts w:hint="eastAsia" w:ascii="宋体" w:hAnsi="宋体"/>
          <w:sz w:val="32"/>
          <w:szCs w:val="32"/>
        </w:rPr>
        <w:t>2017年度</w:t>
      </w:r>
      <w:r>
        <w:rPr>
          <w:rFonts w:hint="eastAsia" w:ascii="宋体" w:hAnsi="宋体"/>
          <w:sz w:val="32"/>
        </w:rPr>
        <w:t>户外广告规划设计费、违章建筑及牌匾拆除费、</w:t>
      </w:r>
      <w:r>
        <w:rPr>
          <w:rFonts w:hint="eastAsia" w:ascii="宋体" w:hAnsi="宋体"/>
          <w:sz w:val="32"/>
          <w:szCs w:val="32"/>
        </w:rPr>
        <w:t>三轮车治理、大气污染治理、人员经费等收支有所增加</w:t>
      </w:r>
      <w:r>
        <w:rPr>
          <w:rFonts w:ascii="宋体" w:hAnsi="宋体"/>
          <w:sz w:val="32"/>
        </w:rPr>
        <w:t>。</w:t>
      </w:r>
      <w:r>
        <w:rPr>
          <w:rFonts w:hint="eastAsia" w:ascii="宋体" w:hAnsi="宋体" w:cs="仿宋"/>
          <w:sz w:val="32"/>
          <w:szCs w:val="32"/>
        </w:rPr>
        <w:t>其中，一般公共预算拨款增加1005.04万元，政府性基金预算财政拨款增加0万元。2017年财政拨款支出决算总计3766.42万元，较2016年</w:t>
      </w:r>
      <w:r>
        <w:rPr>
          <w:rFonts w:hint="eastAsia" w:ascii="宋体" w:hAnsi="宋体" w:cs="仿宋"/>
          <w:sz w:val="32"/>
        </w:rPr>
        <w:t>度决算</w:t>
      </w:r>
      <w:r>
        <w:rPr>
          <w:rFonts w:hint="eastAsia" w:ascii="宋体" w:hAnsi="宋体" w:cs="仿宋"/>
          <w:sz w:val="32"/>
          <w:szCs w:val="32"/>
        </w:rPr>
        <w:t>增加1086.52万元，</w:t>
      </w:r>
      <w:r>
        <w:rPr>
          <w:rFonts w:hint="eastAsia" w:ascii="宋体" w:hAnsi="宋体" w:cs="仿宋"/>
          <w:sz w:val="32"/>
        </w:rPr>
        <w:t>增长40.54%，主要原因是</w:t>
      </w:r>
      <w:r>
        <w:rPr>
          <w:rFonts w:hint="eastAsia" w:ascii="宋体" w:hAnsi="宋体"/>
          <w:sz w:val="32"/>
          <w:szCs w:val="32"/>
        </w:rPr>
        <w:t>2017年度</w:t>
      </w:r>
      <w:r>
        <w:rPr>
          <w:rFonts w:hint="eastAsia" w:ascii="宋体" w:hAnsi="宋体"/>
          <w:sz w:val="32"/>
        </w:rPr>
        <w:t>户外广告规划设计费、违章建筑及牌匾拆除费、</w:t>
      </w:r>
      <w:r>
        <w:rPr>
          <w:rFonts w:hint="eastAsia" w:ascii="宋体" w:hAnsi="宋体"/>
          <w:sz w:val="32"/>
          <w:szCs w:val="32"/>
        </w:rPr>
        <w:t>三轮车治理、大气污染治理、人员经费等收支有所增加</w:t>
      </w:r>
      <w:r>
        <w:rPr>
          <w:rFonts w:ascii="宋体" w:hAnsi="宋体"/>
          <w:sz w:val="32"/>
        </w:rPr>
        <w:t>。</w:t>
      </w:r>
      <w:r>
        <w:rPr>
          <w:rFonts w:hint="eastAsia" w:ascii="宋体" w:hAnsi="宋体" w:cs="仿宋"/>
          <w:sz w:val="32"/>
          <w:szCs w:val="32"/>
        </w:rPr>
        <w:t>其中：基本支出增加1038.92万元，项目支出增加47.6万元</w:t>
      </w:r>
      <w:r>
        <w:rPr>
          <w:rFonts w:hint="eastAsia" w:ascii="宋体" w:hAnsi="宋体" w:cs="仿宋"/>
          <w:sz w:val="32"/>
        </w:rPr>
        <w:t>。</w:t>
      </w: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rPr>
        <w:t>2、财政拨款收支与年初预算数对比情况</w:t>
      </w:r>
    </w:p>
    <w:p>
      <w:pPr>
        <w:snapToGrid w:val="0"/>
        <w:spacing w:line="560" w:lineRule="exact"/>
        <w:ind w:firstLine="640" w:firstLineChars="200"/>
        <w:rPr>
          <w:rFonts w:ascii="宋体" w:hAnsi="宋体" w:cs="仿宋"/>
          <w:sz w:val="32"/>
        </w:rPr>
      </w:pPr>
      <w:r>
        <w:rPr>
          <w:rFonts w:hint="eastAsia" w:ascii="宋体" w:hAnsi="宋体" w:cs="仿宋"/>
          <w:sz w:val="32"/>
          <w:szCs w:val="32"/>
        </w:rPr>
        <w:t>本部门2017年财政拨款收入决算总计3428.78万元，较年初预算增加670.14万元，</w:t>
      </w:r>
      <w:r>
        <w:rPr>
          <w:rFonts w:hint="eastAsia" w:ascii="宋体" w:hAnsi="宋体" w:cs="仿宋"/>
          <w:sz w:val="32"/>
        </w:rPr>
        <w:t>增长24.29%，主要原因是</w:t>
      </w:r>
      <w:r>
        <w:rPr>
          <w:rFonts w:hint="eastAsia" w:ascii="宋体" w:hAnsi="宋体"/>
          <w:sz w:val="32"/>
        </w:rPr>
        <w:t>保障数字城管运行费用支出及系统软件购置、宣传围挡制作、城市管理费用、人员费用等有所增长</w:t>
      </w:r>
      <w:r>
        <w:rPr>
          <w:rFonts w:hint="eastAsia" w:ascii="宋体" w:hAnsi="宋体" w:cs="仿宋"/>
          <w:sz w:val="32"/>
        </w:rPr>
        <w:t>。</w:t>
      </w:r>
      <w:r>
        <w:rPr>
          <w:rFonts w:hint="eastAsia" w:ascii="宋体" w:hAnsi="宋体" w:cs="仿宋"/>
          <w:sz w:val="32"/>
          <w:szCs w:val="32"/>
        </w:rPr>
        <w:t>其中，一般公共预算拨款670.14万元，政府性基金预算财政拨款增加0万元。2017年财政拨款支出决算总计3766.42万元，较年初预算增加1007.78万元，</w:t>
      </w:r>
      <w:r>
        <w:rPr>
          <w:rFonts w:hint="eastAsia" w:ascii="宋体" w:hAnsi="宋体" w:cs="仿宋"/>
          <w:sz w:val="32"/>
        </w:rPr>
        <w:t>增长36.53%，主要原因</w:t>
      </w:r>
      <w:r>
        <w:rPr>
          <w:rFonts w:hint="eastAsia" w:ascii="宋体" w:hAnsi="宋体"/>
          <w:sz w:val="32"/>
        </w:rPr>
        <w:t>是保障数字城管运行费用支出及系统软件购置、城市管理费用、宣传围挡制作、人员费用等有所增长。</w:t>
      </w:r>
      <w:r>
        <w:rPr>
          <w:rFonts w:hint="eastAsia" w:ascii="宋体" w:hAnsi="宋体" w:cs="仿宋"/>
          <w:sz w:val="32"/>
          <w:szCs w:val="32"/>
        </w:rPr>
        <w:t>其中基本支出增加650.90万元，项目支出增加356.88万元</w:t>
      </w:r>
      <w:r>
        <w:rPr>
          <w:rFonts w:hint="eastAsia" w:ascii="宋体" w:hAnsi="宋体" w:cs="仿宋"/>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640" w:firstLineChars="200"/>
        <w:rPr>
          <w:rFonts w:ascii="仿宋_GB2312" w:hAnsi="仿宋" w:eastAsia="仿宋_GB2312"/>
          <w:sz w:val="32"/>
          <w:szCs w:val="32"/>
        </w:rPr>
      </w:pPr>
      <w:r>
        <w:rPr>
          <w:rFonts w:hint="eastAsia" w:ascii="宋体" w:hAnsi="宋体"/>
          <w:sz w:val="32"/>
          <w:szCs w:val="32"/>
        </w:rPr>
        <w:t>2017年度部门“三公”经费支出134.10万元，比预算</w:t>
      </w:r>
      <w:r>
        <w:rPr>
          <w:rFonts w:ascii="宋体" w:hAnsi="宋体"/>
          <w:sz w:val="32"/>
          <w:szCs w:val="32"/>
        </w:rPr>
        <w:t>增加</w:t>
      </w:r>
      <w:r>
        <w:rPr>
          <w:rFonts w:hint="eastAsia" w:ascii="宋体" w:hAnsi="宋体"/>
          <w:sz w:val="32"/>
          <w:szCs w:val="32"/>
        </w:rPr>
        <w:t>129.1万元，比2016年度决算减少45.4万元。原因是我局现有执法车辆多数磨损严重，故障频出，维修费用较高，特申请公开拍卖了部分老化、陈旧车辆。其中：因公出国（境）费0万元（本单位2017年度组织出国（境）团组0个，因公出国（境）人次数0人），比预算</w:t>
      </w:r>
      <w:r>
        <w:rPr>
          <w:rFonts w:ascii="宋体" w:hAnsi="宋体"/>
          <w:sz w:val="32"/>
          <w:szCs w:val="32"/>
        </w:rPr>
        <w:t>增加</w:t>
      </w:r>
      <w:r>
        <w:rPr>
          <w:rFonts w:hint="eastAsia" w:ascii="宋体" w:hAnsi="宋体"/>
          <w:sz w:val="32"/>
          <w:szCs w:val="32"/>
        </w:rPr>
        <w:t>0万元，比2016年度决算</w:t>
      </w:r>
      <w:r>
        <w:rPr>
          <w:rFonts w:ascii="宋体" w:hAnsi="宋体"/>
          <w:sz w:val="32"/>
          <w:szCs w:val="32"/>
        </w:rPr>
        <w:t>增加</w:t>
      </w:r>
      <w:r>
        <w:rPr>
          <w:rFonts w:hint="eastAsia" w:ascii="宋体" w:hAnsi="宋体"/>
          <w:sz w:val="32"/>
          <w:szCs w:val="32"/>
        </w:rPr>
        <w:t>0万元；公务用车购置及运行维护费134.10万元（公务用车购置数量0辆，购置金额0万元，公车运行维护费134.10万元，年末公务用车保有量65辆），比预算增加129.10万元，比2016年度决算减少45.40万元，原因是我局现有执法车辆多数磨损严重，故障频出，维修费用较高，特申请公开拍卖了部分老化、陈旧车辆；公务接待费0万元（2017年度国内公务接待0批次，合计接待0人次），比预算减少1.48万元，与2016年度决算持平，原因是严格控制接待标准和费用</w:t>
      </w:r>
      <w:r>
        <w:rPr>
          <w:rFonts w:hint="eastAsia" w:ascii="仿宋_GB2312" w:hAnsi="仿宋" w:eastAsia="仿宋_GB2312"/>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firstLineChars="200"/>
        <w:rPr>
          <w:rFonts w:ascii="宋体" w:hAnsi="宋体" w:cs="仿宋_GB2312"/>
          <w:b/>
          <w:bCs/>
          <w:color w:val="000000"/>
          <w:kern w:val="0"/>
          <w:sz w:val="32"/>
          <w:szCs w:val="32"/>
          <w:shd w:val="clear" w:color="auto" w:fill="FFFFFF"/>
        </w:rPr>
      </w:pPr>
      <w:r>
        <w:rPr>
          <w:rFonts w:hint="eastAsia" w:ascii="宋体" w:hAnsi="宋体" w:cs="仿宋_GB2312"/>
          <w:b/>
          <w:bCs/>
          <w:color w:val="000000"/>
          <w:kern w:val="0"/>
          <w:sz w:val="32"/>
          <w:szCs w:val="32"/>
          <w:shd w:val="clear" w:color="auto" w:fill="FFFFFF"/>
        </w:rPr>
        <w:t>1、预算绩效管理工作开展情况</w:t>
      </w:r>
    </w:p>
    <w:p>
      <w:pPr>
        <w:ind w:firstLine="640" w:firstLineChars="200"/>
        <w:rPr>
          <w:rFonts w:ascii="宋体" w:hAnsi="宋体" w:cs="仿宋"/>
          <w:sz w:val="32"/>
          <w:szCs w:val="32"/>
        </w:rPr>
      </w:pPr>
      <w:r>
        <w:rPr>
          <w:rFonts w:hint="eastAsia" w:ascii="宋体" w:hAnsi="宋体" w:cs="仿宋"/>
          <w:sz w:val="32"/>
          <w:szCs w:val="32"/>
        </w:rPr>
        <w:t>2017年，我局紧紧围绕市委、市政府中心工作，不断理顺管理体制，破解管理难题，全面提升城市管理品质，为打造市民满意的幸福宜居城市奠定基础。通过抓队伍提高素质和能力，抓创新推动城市管理工作发展，落实精细管理，改善城市容貌，较好的完成了既定任务。现根据工作实际和工作目标，制定2017年各部门发展规划如下。</w:t>
      </w:r>
    </w:p>
    <w:p>
      <w:pPr>
        <w:ind w:firstLine="560"/>
        <w:rPr>
          <w:rFonts w:ascii="宋体" w:hAnsi="宋体" w:cs="仿宋"/>
          <w:sz w:val="32"/>
          <w:szCs w:val="32"/>
        </w:rPr>
      </w:pPr>
      <w:r>
        <w:rPr>
          <w:rFonts w:hint="eastAsia" w:ascii="宋体" w:hAnsi="宋体"/>
          <w:b/>
          <w:sz w:val="32"/>
          <w:szCs w:val="32"/>
        </w:rPr>
        <w:t>（一）保障空气质量，根治露天烧烤。</w:t>
      </w:r>
      <w:r>
        <w:rPr>
          <w:rFonts w:hint="eastAsia" w:ascii="宋体" w:hAnsi="宋体" w:cs="仿宋"/>
          <w:sz w:val="32"/>
          <w:szCs w:val="32"/>
        </w:rPr>
        <w:t>全面清查市区内烧烤实际情况，对每户烧烤商户建立跟踪台帐，根据实际情况设定禁止区、限制区、规范区。禁止区为市区主干道、大型广场、行政单位周边，严禁经营烧烤和露天操作；限制区为次干道、小街巷、居民聚集区，烧烤炉具必须进店经营，安装油烟净化设备；规范区为大型烧烤市场、城市环路及城乡结合部，所有炉灶安装油烟净化设备，保证环境卫生秩序良好。筹建大型烧烤市场，将闲散烧烤商贩、烧烤集中区域的烧烤店统一迁至烧烤市场经营。</w:t>
      </w:r>
    </w:p>
    <w:p>
      <w:pPr>
        <w:ind w:firstLine="560"/>
        <w:rPr>
          <w:rFonts w:ascii="宋体" w:hAnsi="宋体" w:cs="仿宋"/>
          <w:sz w:val="32"/>
          <w:szCs w:val="32"/>
        </w:rPr>
      </w:pPr>
      <w:r>
        <w:rPr>
          <w:rFonts w:hint="eastAsia" w:ascii="宋体" w:hAnsi="宋体"/>
          <w:b/>
          <w:sz w:val="32"/>
          <w:szCs w:val="32"/>
        </w:rPr>
        <w:t>（二）深化综合治理，提升市容环境。</w:t>
      </w:r>
      <w:r>
        <w:rPr>
          <w:rFonts w:hint="eastAsia" w:ascii="宋体" w:hAnsi="宋体" w:cs="仿宋"/>
          <w:sz w:val="32"/>
          <w:szCs w:val="32"/>
        </w:rPr>
        <w:t>严格落实道路分级管理、队员包门店等管理制度，深入开展主次干道、重点区域、背街小巷综合治理，集中治理各类城市乱象，全面提升城市管理水平，逐步实现城市管理向 标准化、精细化、常态化转变。</w:t>
      </w:r>
    </w:p>
    <w:p>
      <w:pPr>
        <w:ind w:firstLine="560"/>
        <w:rPr>
          <w:rFonts w:ascii="宋体" w:hAnsi="宋体"/>
          <w:sz w:val="32"/>
          <w:szCs w:val="32"/>
        </w:rPr>
      </w:pPr>
      <w:r>
        <w:rPr>
          <w:rFonts w:hint="eastAsia" w:ascii="宋体" w:hAnsi="宋体"/>
          <w:b/>
          <w:sz w:val="32"/>
          <w:szCs w:val="32"/>
        </w:rPr>
        <w:t>（三）拓展数字城管，创新服务模式。</w:t>
      </w:r>
      <w:r>
        <w:rPr>
          <w:rFonts w:hint="eastAsia" w:ascii="宋体" w:hAnsi="宋体" w:cs="仿宋"/>
          <w:sz w:val="32"/>
          <w:szCs w:val="32"/>
        </w:rPr>
        <w:t>完善监管考核机制，形成一套发现及时、反应迅速、处置到位的运行机制，推动城市管理由简单粗放向科学、智能、精细、长效转变。加强巡查力度，提升案件办结率。完善建筑工地视频监控系统，完成市区所有工地的联网工作。</w:t>
      </w:r>
    </w:p>
    <w:p>
      <w:pPr>
        <w:ind w:firstLine="560"/>
        <w:rPr>
          <w:rFonts w:ascii="宋体" w:hAnsi="宋体" w:cs="仿宋"/>
          <w:sz w:val="32"/>
          <w:szCs w:val="32"/>
        </w:rPr>
      </w:pPr>
      <w:r>
        <w:rPr>
          <w:rFonts w:hint="eastAsia" w:ascii="宋体" w:hAnsi="宋体"/>
          <w:b/>
          <w:sz w:val="32"/>
          <w:szCs w:val="32"/>
        </w:rPr>
        <w:t>（四）强化规划执法，严控私搭乱建。</w:t>
      </w:r>
      <w:r>
        <w:rPr>
          <w:rFonts w:hint="eastAsia" w:ascii="宋体" w:hAnsi="宋体" w:cs="仿宋"/>
          <w:sz w:val="32"/>
          <w:szCs w:val="32"/>
        </w:rPr>
        <w:t>一是继续保持高压态势，强化大型工地监管。与规划、建设、房管等相关部门协调联动，加大对大型房地产开发项目的监督管理，严厉打击超容积率、少报多建、侵占红线等违法行为。二是严控城乡结合部违建行为。加大对城乡结合部、城中村等区域违章建筑的查处和拆除力度，坚持“勤巡查、早发现、快制止、严处理”的工作方针，严控违法建设行为的滋生蔓延。三是积极探索乡镇规划执法管理工作新机制。建立和完善乡镇执法大队，积极协调配合各乡镇，建立起乡镇主管、村街监督、执法部门全程参与的立体网格式监管体系。确保规划管理不留天窗、不留空白。</w:t>
      </w:r>
    </w:p>
    <w:p>
      <w:pPr>
        <w:ind w:firstLine="560"/>
        <w:rPr>
          <w:rFonts w:ascii="宋体" w:hAnsi="宋体" w:cs="仿宋"/>
          <w:sz w:val="32"/>
          <w:szCs w:val="32"/>
        </w:rPr>
      </w:pPr>
      <w:r>
        <w:rPr>
          <w:rFonts w:hint="eastAsia" w:ascii="宋体" w:hAnsi="宋体"/>
          <w:b/>
          <w:sz w:val="32"/>
          <w:szCs w:val="32"/>
        </w:rPr>
        <w:t>（五）整合广告资源，靓化美化市容。</w:t>
      </w:r>
      <w:r>
        <w:rPr>
          <w:rFonts w:hint="eastAsia" w:ascii="宋体" w:hAnsi="宋体" w:cs="仿宋"/>
          <w:sz w:val="32"/>
          <w:szCs w:val="32"/>
        </w:rPr>
        <w:t>一是规范大型广告设置。加强对建筑物楼顶、墙体、灯杆及铁道桥、高速桥桥体广告、大型电子显示屏的监督管理。二是抓好新建小区底商广告设置。三是开展小广告发布平台建设。对怀来信息岛建设进行改良，根据自身实际，在市区校园周边、大型社区、公共广场、公交站台等人流聚集区设置小广告发布信息岛，并对信息发布栏进行统一分栏设计，方便市民张贴合法便民广告信息。</w:t>
      </w:r>
    </w:p>
    <w:p>
      <w:pPr>
        <w:autoSpaceDE w:val="0"/>
        <w:autoSpaceDN w:val="0"/>
        <w:snapToGrid w:val="0"/>
        <w:spacing w:line="560" w:lineRule="exact"/>
        <w:ind w:firstLine="643" w:firstLineChars="200"/>
        <w:rPr>
          <w:rFonts w:ascii="宋体" w:hAnsi="宋体" w:cs="仿宋_GB2312"/>
          <w:color w:val="FF0000"/>
          <w:kern w:val="0"/>
          <w:sz w:val="32"/>
          <w:szCs w:val="32"/>
          <w:shd w:val="clear" w:color="auto" w:fill="FFFFFF"/>
        </w:rPr>
      </w:pPr>
      <w:r>
        <w:rPr>
          <w:rFonts w:hint="eastAsia" w:ascii="宋体" w:hAnsi="宋体"/>
          <w:b/>
          <w:sz w:val="32"/>
          <w:szCs w:val="32"/>
        </w:rPr>
        <w:t>（六）实施重点突破，改善东市区环境。</w:t>
      </w:r>
      <w:r>
        <w:rPr>
          <w:rFonts w:hint="eastAsia" w:ascii="宋体" w:hAnsi="宋体" w:cs="仿宋"/>
          <w:sz w:val="32"/>
          <w:szCs w:val="32"/>
        </w:rPr>
        <w:t>持续加大对东市区的环境整治力度，在巩固精品示范线建设、环境治理攻坚战治理成果的基础上，重点治理占道经营、整顿广告牌匾、查处违章建筑、建设便民市场、打击非法营运三轮车等工作。</w:t>
      </w:r>
    </w:p>
    <w:p>
      <w:pPr>
        <w:autoSpaceDE w:val="0"/>
        <w:autoSpaceDN w:val="0"/>
        <w:snapToGrid w:val="0"/>
        <w:spacing w:line="560" w:lineRule="exact"/>
        <w:ind w:firstLine="643" w:firstLineChars="200"/>
        <w:rPr>
          <w:rFonts w:ascii="宋体" w:hAnsi="宋体" w:cs="仿宋_GB2312"/>
          <w:b/>
          <w:bCs/>
          <w:color w:val="000000"/>
          <w:kern w:val="0"/>
          <w:sz w:val="32"/>
          <w:szCs w:val="32"/>
          <w:shd w:val="clear" w:color="auto" w:fill="FFFFFF"/>
        </w:rPr>
      </w:pPr>
      <w:r>
        <w:rPr>
          <w:rFonts w:hint="eastAsia" w:ascii="宋体" w:hAnsi="宋体" w:cs="仿宋_GB2312"/>
          <w:b/>
          <w:bCs/>
          <w:color w:val="000000"/>
          <w:kern w:val="0"/>
          <w:sz w:val="32"/>
          <w:szCs w:val="32"/>
          <w:shd w:val="clear" w:color="auto" w:fill="FFFFFF"/>
        </w:rPr>
        <w:t>2、预算项目绩效评价开展情况</w:t>
      </w:r>
    </w:p>
    <w:p>
      <w:pPr>
        <w:widowControl/>
        <w:spacing w:line="560" w:lineRule="exact"/>
        <w:ind w:firstLine="640" w:firstLineChars="200"/>
        <w:rPr>
          <w:rFonts w:hint="eastAsia" w:ascii="宋体" w:hAnsi="宋体"/>
          <w:sz w:val="32"/>
          <w:szCs w:val="32"/>
        </w:rPr>
      </w:pPr>
      <w:r>
        <w:rPr>
          <w:rFonts w:hint="eastAsia" w:ascii="宋体" w:hAnsi="宋体"/>
          <w:sz w:val="32"/>
          <w:szCs w:val="32"/>
        </w:rPr>
        <w:t>在市委、市政府的正确领导下，我们以完善</w:t>
      </w:r>
      <w:r>
        <w:rPr>
          <w:rFonts w:hint="eastAsia" w:ascii="宋体" w:hAnsi="宋体"/>
          <w:sz w:val="32"/>
          <w:szCs w:val="32"/>
          <w:lang w:val="en-US" w:eastAsia="zh-CN"/>
        </w:rPr>
        <w:t>城市管理工作</w:t>
      </w:r>
      <w:r>
        <w:rPr>
          <w:rFonts w:hint="eastAsia" w:ascii="宋体" w:hAnsi="宋体"/>
          <w:sz w:val="32"/>
          <w:szCs w:val="32"/>
        </w:rPr>
        <w:t>为重点，围绕中心工作，积极进取，扎实工作，促进了</w:t>
      </w:r>
      <w:r>
        <w:rPr>
          <w:rFonts w:hint="eastAsia" w:ascii="宋体" w:hAnsi="宋体"/>
          <w:sz w:val="32"/>
          <w:szCs w:val="32"/>
          <w:lang w:val="en-US" w:eastAsia="zh-CN"/>
        </w:rPr>
        <w:t>城市市容环境卫生管理、</w:t>
      </w:r>
      <w:r>
        <w:rPr>
          <w:rFonts w:hint="eastAsia" w:ascii="宋体" w:hAnsi="宋体"/>
          <w:sz w:val="32"/>
          <w:szCs w:val="32"/>
        </w:rPr>
        <w:t>城乡</w:t>
      </w:r>
      <w:r>
        <w:rPr>
          <w:rFonts w:hint="eastAsia" w:ascii="宋体" w:hAnsi="宋体"/>
          <w:sz w:val="32"/>
          <w:szCs w:val="32"/>
          <w:lang w:val="en-US" w:eastAsia="zh-CN"/>
        </w:rPr>
        <w:t>建设管理</w:t>
      </w:r>
      <w:r>
        <w:rPr>
          <w:rFonts w:hint="eastAsia" w:ascii="宋体" w:hAnsi="宋体"/>
          <w:sz w:val="32"/>
          <w:szCs w:val="32"/>
        </w:rPr>
        <w:t>等各项工作的健康发展。2017年主要围绕对</w:t>
      </w:r>
      <w:r>
        <w:rPr>
          <w:rFonts w:hint="eastAsia" w:ascii="宋体" w:hAnsi="宋体"/>
          <w:sz w:val="32"/>
          <w:szCs w:val="32"/>
          <w:lang w:val="en-US" w:eastAsia="zh-CN"/>
        </w:rPr>
        <w:t>城市市容环境卫生管理</w:t>
      </w:r>
      <w:r>
        <w:rPr>
          <w:rFonts w:hint="eastAsia" w:ascii="宋体" w:hAnsi="宋体"/>
          <w:sz w:val="32"/>
          <w:szCs w:val="32"/>
        </w:rPr>
        <w:t>、</w:t>
      </w:r>
      <w:r>
        <w:rPr>
          <w:rFonts w:hint="eastAsia" w:ascii="宋体" w:hAnsi="宋体"/>
          <w:sz w:val="32"/>
          <w:szCs w:val="32"/>
          <w:lang w:val="en-US" w:eastAsia="zh-CN"/>
        </w:rPr>
        <w:t>城市建设规划</w:t>
      </w:r>
      <w:r>
        <w:rPr>
          <w:rFonts w:hint="eastAsia" w:ascii="宋体" w:hAnsi="宋体"/>
          <w:sz w:val="32"/>
          <w:szCs w:val="32"/>
        </w:rPr>
        <w:t>监督等进行开展绩效评价工作，各项工作绩效评价成绩良好。成效：被评价项目绩效目标明确，决策依据充分，资金分配科学合理，项目管理较规范，项目完成良好，基本达到了预期效果。我局对</w:t>
      </w:r>
      <w:r>
        <w:rPr>
          <w:rFonts w:hint="eastAsia" w:ascii="宋体" w:hAnsi="宋体"/>
          <w:sz w:val="32"/>
          <w:szCs w:val="32"/>
          <w:lang w:val="en-US" w:eastAsia="zh-CN"/>
        </w:rPr>
        <w:t>数字城管升级项目</w:t>
      </w:r>
      <w:r>
        <w:rPr>
          <w:rFonts w:hint="eastAsia" w:ascii="宋体" w:hAnsi="宋体"/>
          <w:sz w:val="32"/>
          <w:szCs w:val="32"/>
        </w:rPr>
        <w:t>进行绩效评价，</w:t>
      </w:r>
      <w:r>
        <w:rPr>
          <w:rFonts w:hint="eastAsia" w:ascii="宋体" w:hAnsi="宋体"/>
          <w:sz w:val="32"/>
          <w:szCs w:val="32"/>
          <w:lang w:val="en-US" w:eastAsia="zh-CN"/>
        </w:rPr>
        <w:t>评价结果为优，</w:t>
      </w:r>
      <w:bookmarkStart w:id="0" w:name="_GoBack"/>
      <w:bookmarkEnd w:id="0"/>
      <w:r>
        <w:rPr>
          <w:rFonts w:hint="eastAsia" w:ascii="宋体" w:hAnsi="宋体"/>
          <w:sz w:val="32"/>
          <w:szCs w:val="32"/>
        </w:rPr>
        <w:t>该项目绩效目标为完成</w:t>
      </w:r>
      <w:r>
        <w:rPr>
          <w:rFonts w:hint="eastAsia" w:ascii="宋体" w:hAnsi="宋体"/>
          <w:sz w:val="32"/>
          <w:szCs w:val="32"/>
          <w:lang w:val="en-US" w:eastAsia="zh-CN"/>
        </w:rPr>
        <w:t>数字城管系统的升级，为城市管理执法、服务提供基础保障</w:t>
      </w:r>
      <w:r>
        <w:rPr>
          <w:rFonts w:hint="eastAsia" w:ascii="宋体" w:hAnsi="宋体"/>
          <w:sz w:val="32"/>
          <w:szCs w:val="32"/>
        </w:rPr>
        <w:t>。</w:t>
      </w:r>
      <w:r>
        <w:rPr>
          <w:rFonts w:hint="eastAsia" w:ascii="宋体" w:hAnsi="宋体"/>
          <w:sz w:val="32"/>
          <w:szCs w:val="32"/>
          <w:lang w:val="en-US" w:eastAsia="zh-CN"/>
        </w:rPr>
        <w:t>数字城管系统</w:t>
      </w:r>
      <w:r>
        <w:rPr>
          <w:rFonts w:hint="eastAsia" w:ascii="宋体" w:hAnsi="宋体"/>
          <w:sz w:val="32"/>
          <w:szCs w:val="32"/>
        </w:rPr>
        <w:t>成果完成率为9</w:t>
      </w:r>
      <w:r>
        <w:rPr>
          <w:rFonts w:hint="eastAsia" w:ascii="宋体" w:hAnsi="宋体"/>
          <w:sz w:val="32"/>
          <w:szCs w:val="32"/>
          <w:lang w:val="en-US" w:eastAsia="zh-CN"/>
        </w:rPr>
        <w:t>8</w:t>
      </w:r>
      <w:r>
        <w:rPr>
          <w:rFonts w:hint="eastAsia" w:ascii="宋体" w:hAnsi="宋体"/>
          <w:sz w:val="32"/>
          <w:szCs w:val="32"/>
        </w:rPr>
        <w:t>%，绩效指标评价为优，综合利用率为9</w:t>
      </w:r>
      <w:r>
        <w:rPr>
          <w:rFonts w:hint="eastAsia" w:ascii="宋体" w:hAnsi="宋体"/>
          <w:sz w:val="32"/>
          <w:szCs w:val="32"/>
          <w:lang w:val="en-US" w:eastAsia="zh-CN"/>
        </w:rPr>
        <w:t>5</w:t>
      </w:r>
      <w:r>
        <w:rPr>
          <w:rFonts w:hint="eastAsia" w:ascii="宋体" w:hAnsi="宋体"/>
          <w:sz w:val="32"/>
          <w:szCs w:val="32"/>
        </w:rPr>
        <w:t>%，绩效指标评价为良。</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宋体" w:hAnsi="宋体"/>
          <w:sz w:val="32"/>
          <w:szCs w:val="32"/>
        </w:rPr>
      </w:pPr>
      <w:r>
        <w:rPr>
          <w:rFonts w:eastAsia="仿宋_GB2312"/>
          <w:b/>
          <w:bCs/>
          <w:sz w:val="32"/>
          <w:szCs w:val="32"/>
        </w:rPr>
        <w:t>1</w:t>
      </w:r>
      <w:r>
        <w:rPr>
          <w:rFonts w:hint="eastAsia" w:eastAsia="仿宋_GB2312"/>
          <w:b/>
          <w:bCs/>
          <w:sz w:val="32"/>
          <w:szCs w:val="32"/>
        </w:rPr>
        <w:t>、</w:t>
      </w:r>
      <w:r>
        <w:rPr>
          <w:rFonts w:ascii="宋体" w:hAnsi="宋体"/>
          <w:b/>
          <w:bCs/>
          <w:sz w:val="32"/>
          <w:szCs w:val="32"/>
        </w:rPr>
        <w:t>机关运行经费情况</w:t>
      </w:r>
      <w:r>
        <w:rPr>
          <w:rFonts w:hint="eastAsia" w:ascii="宋体" w:hAnsi="宋体"/>
          <w:b/>
          <w:bCs/>
          <w:sz w:val="32"/>
          <w:szCs w:val="32"/>
        </w:rPr>
        <w:t>：</w:t>
      </w:r>
      <w:r>
        <w:rPr>
          <w:rFonts w:hint="eastAsia" w:ascii="宋体" w:hAnsi="宋体"/>
          <w:sz w:val="32"/>
          <w:szCs w:val="32"/>
        </w:rPr>
        <w:t>2017年度部门机关运行经费支出310.90万元，比2016年度</w:t>
      </w:r>
      <w:r>
        <w:rPr>
          <w:rFonts w:ascii="宋体" w:hAnsi="宋体"/>
          <w:sz w:val="32"/>
          <w:szCs w:val="32"/>
        </w:rPr>
        <w:t>增加</w:t>
      </w:r>
      <w:r>
        <w:rPr>
          <w:rFonts w:hint="eastAsia" w:ascii="宋体" w:hAnsi="宋体"/>
          <w:sz w:val="32"/>
          <w:szCs w:val="32"/>
        </w:rPr>
        <w:t>173.21万元，</w:t>
      </w:r>
      <w:r>
        <w:rPr>
          <w:rFonts w:hint="eastAsia" w:ascii="宋体" w:hAnsi="宋体" w:cs="仿宋"/>
          <w:sz w:val="32"/>
        </w:rPr>
        <w:t>增长125.</w:t>
      </w:r>
      <w:r>
        <w:rPr>
          <w:rFonts w:hint="eastAsia" w:ascii="宋体" w:hAnsi="宋体" w:cs="仿宋"/>
          <w:sz w:val="32"/>
          <w:lang w:val="en-US" w:eastAsia="zh-CN"/>
        </w:rPr>
        <w:t>80</w:t>
      </w:r>
      <w:r>
        <w:rPr>
          <w:rFonts w:hint="eastAsia" w:ascii="宋体" w:hAnsi="宋体" w:cs="仿宋"/>
          <w:sz w:val="32"/>
        </w:rPr>
        <w:t>%。主要</w:t>
      </w:r>
      <w:r>
        <w:rPr>
          <w:rFonts w:hint="eastAsia" w:ascii="宋体" w:hAnsi="宋体"/>
          <w:sz w:val="32"/>
          <w:szCs w:val="32"/>
        </w:rPr>
        <w:t>原因是邮电费中增加了公务移动通讯补贴，其他交通费用中增加了公务用车补贴。</w:t>
      </w:r>
    </w:p>
    <w:p>
      <w:pPr>
        <w:autoSpaceDE w:val="0"/>
        <w:autoSpaceDN w:val="0"/>
        <w:snapToGrid w:val="0"/>
        <w:spacing w:line="560" w:lineRule="exact"/>
        <w:ind w:firstLine="643" w:firstLineChars="200"/>
        <w:rPr>
          <w:rFonts w:ascii="宋体" w:hAnsi="宋体" w:cs="仿宋_GB2312"/>
          <w:kern w:val="0"/>
          <w:sz w:val="32"/>
          <w:szCs w:val="32"/>
          <w:shd w:val="clear" w:color="auto" w:fill="FFFFFF"/>
        </w:rPr>
      </w:pPr>
      <w:r>
        <w:rPr>
          <w:rFonts w:ascii="宋体" w:hAnsi="宋体"/>
          <w:b/>
          <w:bCs/>
          <w:sz w:val="32"/>
          <w:szCs w:val="32"/>
        </w:rPr>
        <w:t>2</w:t>
      </w:r>
      <w:r>
        <w:rPr>
          <w:rFonts w:hint="eastAsia" w:ascii="宋体" w:hAnsi="宋体"/>
          <w:b/>
          <w:bCs/>
          <w:sz w:val="32"/>
          <w:szCs w:val="32"/>
        </w:rPr>
        <w:t>、</w:t>
      </w:r>
      <w:r>
        <w:rPr>
          <w:rFonts w:ascii="宋体" w:hAnsi="宋体"/>
          <w:b/>
          <w:bCs/>
          <w:sz w:val="32"/>
          <w:szCs w:val="32"/>
        </w:rPr>
        <w:t>政府采购情况</w:t>
      </w:r>
      <w:r>
        <w:rPr>
          <w:rFonts w:hint="eastAsia" w:ascii="宋体" w:hAnsi="宋体"/>
          <w:b/>
          <w:bCs/>
          <w:sz w:val="32"/>
          <w:szCs w:val="32"/>
        </w:rPr>
        <w:t>：</w:t>
      </w:r>
      <w:r>
        <w:rPr>
          <w:rFonts w:ascii="宋体" w:hAnsi="宋体" w:cs="仿宋_GB2312"/>
          <w:kern w:val="0"/>
          <w:sz w:val="32"/>
          <w:szCs w:val="32"/>
          <w:shd w:val="clear" w:color="auto" w:fill="FFFFFF"/>
        </w:rPr>
        <w:t>201</w:t>
      </w:r>
      <w:r>
        <w:rPr>
          <w:rFonts w:hint="eastAsia" w:ascii="宋体" w:hAnsi="宋体" w:cs="仿宋_GB2312"/>
          <w:kern w:val="0"/>
          <w:sz w:val="32"/>
          <w:szCs w:val="32"/>
          <w:shd w:val="clear" w:color="auto" w:fill="FFFFFF"/>
        </w:rPr>
        <w:t>7</w:t>
      </w:r>
      <w:r>
        <w:rPr>
          <w:rFonts w:ascii="宋体" w:hAnsi="宋体" w:cs="仿宋_GB2312"/>
          <w:kern w:val="0"/>
          <w:sz w:val="32"/>
          <w:szCs w:val="32"/>
          <w:shd w:val="clear" w:color="auto" w:fill="FFFFFF"/>
        </w:rPr>
        <w:t>年</w:t>
      </w:r>
      <w:r>
        <w:rPr>
          <w:rFonts w:hint="eastAsia" w:ascii="宋体" w:hAnsi="宋体" w:cs="仿宋_GB2312"/>
          <w:kern w:val="0"/>
          <w:sz w:val="32"/>
          <w:szCs w:val="32"/>
          <w:shd w:val="clear" w:color="auto" w:fill="FFFFFF"/>
        </w:rPr>
        <w:t>度部门</w:t>
      </w:r>
      <w:r>
        <w:rPr>
          <w:rFonts w:ascii="宋体" w:hAnsi="宋体" w:cs="仿宋_GB2312"/>
          <w:kern w:val="0"/>
          <w:sz w:val="32"/>
          <w:szCs w:val="32"/>
          <w:shd w:val="clear" w:color="auto" w:fill="FFFFFF"/>
        </w:rPr>
        <w:t>政府采购</w:t>
      </w:r>
      <w:r>
        <w:rPr>
          <w:rFonts w:hint="eastAsia" w:ascii="宋体" w:hAnsi="宋体" w:cs="仿宋_GB2312"/>
          <w:kern w:val="0"/>
          <w:sz w:val="32"/>
          <w:szCs w:val="32"/>
          <w:shd w:val="clear" w:color="auto" w:fill="FFFFFF"/>
        </w:rPr>
        <w:t>支出</w:t>
      </w:r>
      <w:r>
        <w:rPr>
          <w:rFonts w:hint="eastAsia" w:ascii="宋体" w:hAnsi="宋体"/>
          <w:sz w:val="32"/>
          <w:szCs w:val="32"/>
        </w:rPr>
        <w:t>157.16</w:t>
      </w:r>
      <w:r>
        <w:rPr>
          <w:rFonts w:ascii="宋体" w:hAnsi="宋体" w:cs="仿宋_GB2312"/>
          <w:kern w:val="0"/>
          <w:sz w:val="32"/>
          <w:szCs w:val="32"/>
          <w:shd w:val="clear" w:color="auto" w:fill="FFFFFF"/>
        </w:rPr>
        <w:t>万元</w:t>
      </w:r>
      <w:r>
        <w:rPr>
          <w:rFonts w:hint="eastAsia" w:ascii="宋体" w:hAnsi="宋体" w:cs="仿宋_GB2312"/>
          <w:kern w:val="0"/>
          <w:sz w:val="32"/>
          <w:szCs w:val="32"/>
          <w:shd w:val="clear" w:color="auto" w:fill="FFFFFF"/>
        </w:rPr>
        <w:t>，其中：政府采购货物支出</w:t>
      </w:r>
      <w:r>
        <w:rPr>
          <w:rFonts w:hint="eastAsia" w:ascii="宋体" w:hAnsi="宋体"/>
          <w:sz w:val="32"/>
          <w:szCs w:val="32"/>
        </w:rPr>
        <w:t>55.16</w:t>
      </w:r>
      <w:r>
        <w:rPr>
          <w:rFonts w:hint="eastAsia" w:ascii="宋体" w:hAnsi="宋体" w:cs="仿宋_GB2312"/>
          <w:kern w:val="0"/>
          <w:sz w:val="32"/>
          <w:szCs w:val="32"/>
          <w:shd w:val="clear" w:color="auto" w:fill="FFFFFF"/>
        </w:rPr>
        <w:t>万元，政府采购工程支出</w:t>
      </w:r>
      <w:r>
        <w:rPr>
          <w:rFonts w:hint="eastAsia" w:ascii="宋体" w:hAnsi="宋体"/>
          <w:sz w:val="32"/>
          <w:szCs w:val="32"/>
        </w:rPr>
        <w:t>0</w:t>
      </w:r>
      <w:r>
        <w:rPr>
          <w:rFonts w:hint="eastAsia" w:ascii="宋体" w:hAnsi="宋体" w:cs="仿宋_GB2312"/>
          <w:kern w:val="0"/>
          <w:sz w:val="32"/>
          <w:szCs w:val="32"/>
          <w:shd w:val="clear" w:color="auto" w:fill="FFFFFF"/>
        </w:rPr>
        <w:t>万元，政府采购服务支出</w:t>
      </w:r>
      <w:r>
        <w:rPr>
          <w:rFonts w:hint="eastAsia" w:ascii="宋体" w:hAnsi="宋体"/>
          <w:sz w:val="32"/>
          <w:szCs w:val="32"/>
        </w:rPr>
        <w:t>102</w:t>
      </w:r>
      <w:r>
        <w:rPr>
          <w:rFonts w:hint="eastAsia" w:ascii="宋体" w:hAnsi="宋体" w:cs="仿宋_GB2312"/>
          <w:kern w:val="0"/>
          <w:sz w:val="32"/>
          <w:szCs w:val="32"/>
          <w:shd w:val="clear" w:color="auto" w:fill="FFFFFF"/>
        </w:rPr>
        <w:t>万元。</w:t>
      </w:r>
    </w:p>
    <w:p>
      <w:pPr>
        <w:widowControl/>
        <w:spacing w:line="560" w:lineRule="exact"/>
        <w:ind w:firstLine="643" w:firstLineChars="200"/>
        <w:rPr>
          <w:rFonts w:ascii="宋体" w:hAnsi="宋体" w:cs="仿宋_GB2312"/>
          <w:kern w:val="0"/>
          <w:sz w:val="32"/>
          <w:szCs w:val="32"/>
          <w:shd w:val="clear" w:color="auto" w:fill="FFFFFF"/>
        </w:rPr>
      </w:pPr>
      <w:r>
        <w:rPr>
          <w:rFonts w:ascii="宋体" w:hAnsi="宋体"/>
          <w:b/>
          <w:bCs/>
          <w:sz w:val="32"/>
          <w:szCs w:val="32"/>
        </w:rPr>
        <w:t>3</w:t>
      </w:r>
      <w:r>
        <w:rPr>
          <w:rFonts w:hint="eastAsia" w:ascii="宋体" w:hAnsi="宋体"/>
          <w:b/>
          <w:bCs/>
          <w:sz w:val="32"/>
          <w:szCs w:val="32"/>
        </w:rPr>
        <w:t>、</w:t>
      </w:r>
      <w:r>
        <w:rPr>
          <w:rFonts w:ascii="宋体" w:hAnsi="宋体"/>
          <w:b/>
          <w:bCs/>
          <w:sz w:val="32"/>
          <w:szCs w:val="32"/>
        </w:rPr>
        <w:t>国有资产占用情况</w:t>
      </w:r>
      <w:r>
        <w:rPr>
          <w:rFonts w:hint="eastAsia" w:ascii="宋体" w:hAnsi="宋体"/>
          <w:b/>
          <w:bCs/>
          <w:sz w:val="32"/>
          <w:szCs w:val="32"/>
        </w:rPr>
        <w:t>:</w:t>
      </w:r>
      <w:r>
        <w:rPr>
          <w:rFonts w:hint="eastAsia" w:ascii="宋体" w:hAnsi="宋体"/>
          <w:sz w:val="32"/>
        </w:rPr>
        <w:t>截至2017年12月31日，本部门共有车辆</w:t>
      </w:r>
      <w:r>
        <w:rPr>
          <w:rFonts w:hint="eastAsia" w:ascii="宋体" w:hAnsi="宋体"/>
          <w:sz w:val="32"/>
          <w:szCs w:val="32"/>
        </w:rPr>
        <w:t>65</w:t>
      </w:r>
      <w:r>
        <w:rPr>
          <w:rFonts w:hint="eastAsia" w:ascii="宋体" w:hAnsi="宋体"/>
          <w:sz w:val="32"/>
        </w:rPr>
        <w:t>辆，其中，一般公务用车</w:t>
      </w:r>
      <w:r>
        <w:rPr>
          <w:rFonts w:hint="eastAsia" w:ascii="宋体" w:hAnsi="宋体"/>
          <w:sz w:val="32"/>
          <w:szCs w:val="32"/>
        </w:rPr>
        <w:t>8</w:t>
      </w:r>
      <w:r>
        <w:rPr>
          <w:rFonts w:hint="eastAsia" w:ascii="宋体" w:hAnsi="宋体"/>
          <w:sz w:val="32"/>
        </w:rPr>
        <w:t>辆；单位价值50万元以上通用设备</w:t>
      </w:r>
      <w:r>
        <w:rPr>
          <w:rFonts w:hint="eastAsia" w:ascii="宋体" w:hAnsi="宋体"/>
          <w:sz w:val="32"/>
          <w:szCs w:val="32"/>
        </w:rPr>
        <w:t>0</w:t>
      </w:r>
      <w:r>
        <w:rPr>
          <w:rFonts w:hint="eastAsia" w:ascii="宋体" w:hAnsi="宋体"/>
          <w:sz w:val="32"/>
        </w:rPr>
        <w:t>台（套），单价100万元以上专用设备</w:t>
      </w:r>
      <w:r>
        <w:rPr>
          <w:rFonts w:hint="eastAsia" w:ascii="宋体" w:hAnsi="宋体"/>
          <w:sz w:val="32"/>
          <w:szCs w:val="32"/>
        </w:rPr>
        <w:t>0</w:t>
      </w:r>
      <w:r>
        <w:rPr>
          <w:rFonts w:hint="eastAsia" w:ascii="宋体" w:hAnsi="宋体"/>
          <w:sz w:val="32"/>
        </w:rPr>
        <w:t>台（套）。</w:t>
      </w:r>
    </w:p>
    <w:p>
      <w:pPr>
        <w:widowControl/>
        <w:spacing w:line="560" w:lineRule="exact"/>
        <w:ind w:firstLine="640" w:firstLineChars="200"/>
        <w:rPr>
          <w:rFonts w:ascii="宋体" w:hAnsi="宋体" w:cs="仿宋_GB2312"/>
          <w:kern w:val="0"/>
          <w:sz w:val="32"/>
          <w:szCs w:val="32"/>
          <w:shd w:val="clear" w:color="auto" w:fill="FFFFFF"/>
        </w:rPr>
      </w:pPr>
    </w:p>
    <w:tbl>
      <w:tblPr>
        <w:tblStyle w:val="5"/>
        <w:tblW w:w="8490" w:type="dxa"/>
        <w:tblInd w:w="817" w:type="dxa"/>
        <w:tblLayout w:type="fixed"/>
        <w:tblCellMar>
          <w:top w:w="0" w:type="dxa"/>
          <w:left w:w="108" w:type="dxa"/>
          <w:bottom w:w="0" w:type="dxa"/>
          <w:right w:w="108" w:type="dxa"/>
        </w:tblCellMar>
      </w:tblPr>
      <w:tblGrid>
        <w:gridCol w:w="3345"/>
        <w:gridCol w:w="1740"/>
        <w:gridCol w:w="3405"/>
      </w:tblGrid>
      <w:tr>
        <w:tblPrEx>
          <w:tblLayout w:type="fixed"/>
          <w:tblCellMar>
            <w:top w:w="0" w:type="dxa"/>
            <w:left w:w="108" w:type="dxa"/>
            <w:bottom w:w="0" w:type="dxa"/>
            <w:right w:w="108" w:type="dxa"/>
          </w:tblCellMar>
        </w:tblPrEx>
        <w:trPr>
          <w:trHeight w:val="575" w:hRule="atLeast"/>
        </w:trPr>
        <w:tc>
          <w:tcPr>
            <w:tcW w:w="8490"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kern w:val="0"/>
                <w:sz w:val="28"/>
                <w:szCs w:val="28"/>
              </w:rPr>
            </w:pPr>
            <w:r>
              <w:rPr>
                <w:rFonts w:hint="eastAsia" w:ascii="宋体" w:hAnsi="宋体" w:cs="宋体"/>
                <w:b/>
                <w:bCs/>
                <w:kern w:val="0"/>
                <w:sz w:val="28"/>
                <w:szCs w:val="28"/>
              </w:rPr>
              <w:t>霸州市城市管理行政执法局固定资产占用情况表</w:t>
            </w:r>
          </w:p>
          <w:p>
            <w:pPr>
              <w:autoSpaceDE w:val="0"/>
              <w:autoSpaceDN w:val="0"/>
              <w:snapToGrid w:val="0"/>
              <w:spacing w:line="560" w:lineRule="exact"/>
              <w:ind w:firstLine="562" w:firstLineChars="200"/>
              <w:jc w:val="center"/>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493" w:hRule="atLeast"/>
        </w:trPr>
        <w:tc>
          <w:tcPr>
            <w:tcW w:w="5085" w:type="dxa"/>
            <w:gridSpan w:val="2"/>
            <w:tcBorders>
              <w:top w:val="nil"/>
              <w:left w:val="nil"/>
              <w:bottom w:val="nil"/>
              <w:right w:val="nil"/>
            </w:tcBorders>
            <w:vAlign w:val="center"/>
          </w:tcPr>
          <w:p>
            <w:pPr>
              <w:widowControl/>
              <w:spacing w:line="560" w:lineRule="exact"/>
              <w:ind w:firstLine="440" w:firstLineChars="200"/>
              <w:rPr>
                <w:kern w:val="0"/>
                <w:sz w:val="22"/>
              </w:rPr>
            </w:pPr>
            <w:r>
              <w:rPr>
                <w:rFonts w:hint="eastAsia" w:ascii="宋体" w:hAnsi="宋体" w:cs="宋体"/>
                <w:kern w:val="0"/>
                <w:sz w:val="22"/>
              </w:rPr>
              <w:t>编制部门：</w:t>
            </w:r>
            <w:r>
              <w:rPr>
                <w:rFonts w:hint="eastAsia" w:ascii="宋体" w:hAnsi="宋体" w:cs="宋体"/>
                <w:kern w:val="0"/>
                <w:sz w:val="22"/>
                <w:lang w:val="en-US" w:eastAsia="zh-CN"/>
              </w:rPr>
              <w:t xml:space="preserve">814 </w:t>
            </w:r>
            <w:r>
              <w:rPr>
                <w:rFonts w:hint="eastAsia" w:ascii="宋体" w:hAnsi="宋体" w:cs="宋体"/>
                <w:kern w:val="0"/>
                <w:sz w:val="22"/>
              </w:rPr>
              <w:t>霸州市城市管理行政执法局</w:t>
            </w:r>
          </w:p>
        </w:tc>
        <w:tc>
          <w:tcPr>
            <w:tcW w:w="3405" w:type="dxa"/>
            <w:tcBorders>
              <w:top w:val="nil"/>
              <w:left w:val="nil"/>
              <w:bottom w:val="nil"/>
              <w:right w:val="nil"/>
            </w:tcBorders>
            <w:vAlign w:val="center"/>
          </w:tcPr>
          <w:p>
            <w:pPr>
              <w:widowControl/>
              <w:spacing w:line="560" w:lineRule="exact"/>
              <w:rPr>
                <w:kern w:val="0"/>
                <w:sz w:val="22"/>
              </w:rPr>
            </w:pPr>
            <w:r>
              <w:rPr>
                <w:kern w:val="0"/>
                <w:sz w:val="22"/>
              </w:rPr>
              <w:t>截止时间：201</w:t>
            </w:r>
            <w:r>
              <w:rPr>
                <w:rFonts w:hint="eastAsia"/>
                <w:kern w:val="0"/>
                <w:sz w:val="22"/>
              </w:rPr>
              <w:t>7</w:t>
            </w:r>
            <w:r>
              <w:rPr>
                <w:kern w:val="0"/>
                <w:sz w:val="22"/>
              </w:rPr>
              <w:t>年12月31日</w:t>
            </w:r>
          </w:p>
        </w:tc>
      </w:tr>
      <w:tr>
        <w:tblPrEx>
          <w:tblLayout w:type="fixed"/>
          <w:tblCellMar>
            <w:top w:w="0" w:type="dxa"/>
            <w:left w:w="108" w:type="dxa"/>
            <w:bottom w:w="0" w:type="dxa"/>
            <w:right w:w="108" w:type="dxa"/>
          </w:tblCellMar>
        </w:tblPrEx>
        <w:trPr>
          <w:trHeight w:val="571" w:hRule="atLeast"/>
        </w:trPr>
        <w:tc>
          <w:tcPr>
            <w:tcW w:w="334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项目</w:t>
            </w:r>
          </w:p>
        </w:tc>
        <w:tc>
          <w:tcPr>
            <w:tcW w:w="1740"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数量</w:t>
            </w:r>
          </w:p>
        </w:tc>
        <w:tc>
          <w:tcPr>
            <w:tcW w:w="3405"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资产总额</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w:t>
            </w: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723.28</w:t>
            </w:r>
          </w:p>
        </w:tc>
      </w:tr>
      <w:tr>
        <w:tblPrEx>
          <w:tblLayout w:type="fixed"/>
          <w:tblCellMar>
            <w:top w:w="0" w:type="dxa"/>
            <w:left w:w="108" w:type="dxa"/>
            <w:bottom w:w="0" w:type="dxa"/>
            <w:right w:w="108" w:type="dxa"/>
          </w:tblCellMar>
        </w:tblPrEx>
        <w:trPr>
          <w:trHeight w:val="571"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1、房屋（平方米）</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其中：办公用房（平方米）</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571"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2、车辆（台、辆）</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65</w:t>
            </w: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482.57</w:t>
            </w:r>
          </w:p>
        </w:tc>
      </w:tr>
      <w:tr>
        <w:tblPrEx>
          <w:tblLayout w:type="fixed"/>
          <w:tblCellMar>
            <w:top w:w="0" w:type="dxa"/>
            <w:left w:w="108" w:type="dxa"/>
            <w:bottom w:w="0" w:type="dxa"/>
            <w:right w:w="108" w:type="dxa"/>
          </w:tblCellMar>
        </w:tblPrEx>
        <w:trPr>
          <w:trHeight w:val="571"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3、单价在50万元以上的设备</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r>
      <w:tr>
        <w:tblPrEx>
          <w:tblLayout w:type="fixed"/>
          <w:tblCellMar>
            <w:top w:w="0" w:type="dxa"/>
            <w:left w:w="108" w:type="dxa"/>
            <w:bottom w:w="0" w:type="dxa"/>
            <w:right w:w="108" w:type="dxa"/>
          </w:tblCellMar>
        </w:tblPrEx>
        <w:trPr>
          <w:trHeight w:val="613" w:hRule="atLeast"/>
        </w:trPr>
        <w:tc>
          <w:tcPr>
            <w:tcW w:w="3345"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4、其他固定资产</w:t>
            </w:r>
          </w:p>
        </w:tc>
        <w:tc>
          <w:tcPr>
            <w:tcW w:w="1740"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3405"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240.71</w:t>
            </w:r>
          </w:p>
        </w:tc>
      </w:tr>
    </w:tbl>
    <w:p>
      <w:pPr>
        <w:widowControl/>
        <w:spacing w:line="560" w:lineRule="exact"/>
        <w:ind w:firstLine="643" w:firstLineChars="200"/>
        <w:rPr>
          <w:rFonts w:ascii="宋体" w:hAnsi="宋体"/>
          <w:color w:val="FF0000"/>
          <w:sz w:val="32"/>
          <w:szCs w:val="32"/>
        </w:rPr>
      </w:pPr>
      <w:r>
        <w:rPr>
          <w:rFonts w:ascii="宋体" w:hAnsi="宋体"/>
          <w:b/>
          <w:bCs/>
          <w:sz w:val="32"/>
          <w:szCs w:val="32"/>
        </w:rPr>
        <w:t>4</w:t>
      </w:r>
      <w:r>
        <w:rPr>
          <w:rFonts w:hint="eastAsia" w:ascii="宋体" w:hAnsi="宋体"/>
          <w:b/>
          <w:bCs/>
          <w:sz w:val="32"/>
          <w:szCs w:val="32"/>
        </w:rPr>
        <w:t>、</w:t>
      </w:r>
      <w:r>
        <w:rPr>
          <w:rFonts w:ascii="宋体" w:hAnsi="宋体"/>
          <w:b/>
          <w:bCs/>
          <w:sz w:val="32"/>
          <w:szCs w:val="32"/>
        </w:rPr>
        <w:t>其他需要说明的情况</w:t>
      </w:r>
      <w:r>
        <w:rPr>
          <w:rFonts w:hint="eastAsia" w:ascii="宋体" w:hAnsi="宋体"/>
          <w:b/>
          <w:bCs/>
          <w:sz w:val="32"/>
          <w:szCs w:val="32"/>
        </w:rPr>
        <w:t>:</w:t>
      </w:r>
      <w:r>
        <w:rPr>
          <w:rFonts w:hint="eastAsia" w:ascii="宋体" w:hAnsi="宋体"/>
          <w:b w:val="0"/>
          <w:bCs w:val="0"/>
          <w:sz w:val="32"/>
          <w:szCs w:val="32"/>
          <w:lang w:eastAsia="zh-CN"/>
        </w:rPr>
        <w:t>由于决算公开表格中金额数值应当保留两位小数，公开数据为四舍五入结果，个别数据合计项与分项之和存在小数点后差额，特此说明。</w:t>
      </w:r>
    </w:p>
    <w:p>
      <w:pPr>
        <w:autoSpaceDE w:val="0"/>
        <w:autoSpaceDN w:val="0"/>
        <w:adjustRightInd w:val="0"/>
        <w:spacing w:line="560" w:lineRule="exact"/>
        <w:ind w:firstLine="643" w:firstLineChars="200"/>
        <w:rPr>
          <w:rFonts w:ascii="宋体" w:hAnsi="宋体" w:cs="仿宋"/>
          <w:color w:val="FF0000"/>
          <w:sz w:val="32"/>
          <w:szCs w:val="32"/>
        </w:rPr>
      </w:pPr>
      <w:r>
        <w:rPr>
          <w:rFonts w:hint="eastAsia" w:ascii="宋体" w:hAnsi="宋体"/>
          <w:b/>
          <w:bCs/>
          <w:sz w:val="32"/>
          <w:szCs w:val="32"/>
        </w:rPr>
        <w:t>四、</w:t>
      </w:r>
      <w:r>
        <w:rPr>
          <w:rFonts w:ascii="宋体" w:hAnsi="宋体"/>
          <w:b/>
          <w:bCs/>
          <w:sz w:val="32"/>
          <w:szCs w:val="32"/>
        </w:rPr>
        <w:t>名词解释</w:t>
      </w:r>
    </w:p>
    <w:p>
      <w:pPr>
        <w:widowControl/>
        <w:spacing w:line="560" w:lineRule="exact"/>
        <w:ind w:firstLine="640" w:firstLineChars="200"/>
        <w:rPr>
          <w:rFonts w:ascii="宋体" w:hAnsi="宋体"/>
          <w:color w:val="000000"/>
          <w:kern w:val="0"/>
          <w:sz w:val="32"/>
          <w:szCs w:val="32"/>
        </w:rPr>
      </w:pPr>
      <w:r>
        <w:rPr>
          <w:rFonts w:hint="eastAsia" w:ascii="宋体" w:hAnsi="宋体"/>
          <w:b w:val="0"/>
          <w:bCs w:val="0"/>
          <w:color w:val="000000"/>
          <w:kern w:val="0"/>
          <w:sz w:val="32"/>
          <w:szCs w:val="32"/>
          <w:lang w:val="en-US" w:eastAsia="zh-CN"/>
        </w:rPr>
        <w:t>1</w:t>
      </w:r>
      <w:r>
        <w:rPr>
          <w:rFonts w:hint="eastAsia" w:ascii="宋体" w:hAnsi="宋体"/>
          <w:color w:val="000000"/>
          <w:kern w:val="0"/>
          <w:sz w:val="32"/>
          <w:szCs w:val="32"/>
          <w:lang w:val="en-US" w:eastAsia="zh-CN"/>
        </w:rPr>
        <w:t>.</w:t>
      </w:r>
      <w:r>
        <w:rPr>
          <w:rFonts w:ascii="宋体" w:hAnsi="宋体"/>
          <w:color w:val="000000"/>
          <w:kern w:val="0"/>
          <w:sz w:val="32"/>
          <w:szCs w:val="32"/>
        </w:rPr>
        <w:t>财政拨款收入：本年度从本级财政部门取得的财政拨款，包括一般公共预算财政拨款和政府性基金预算财政拨款。</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2.</w:t>
      </w:r>
      <w:r>
        <w:rPr>
          <w:rFonts w:ascii="宋体" w:hAnsi="宋体"/>
          <w:color w:val="000000"/>
          <w:kern w:val="0"/>
          <w:sz w:val="32"/>
          <w:szCs w:val="32"/>
        </w:rPr>
        <w:t>年初结转和结余：指以前年度尚未完成、结转到本年仍按原规定用途继续使用的资金，或项目已完成等产生的结余资金。</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3.</w:t>
      </w:r>
      <w:r>
        <w:rPr>
          <w:rFonts w:ascii="宋体" w:hAnsi="宋体"/>
          <w:color w:val="000000"/>
          <w:kern w:val="0"/>
          <w:sz w:val="32"/>
          <w:szCs w:val="32"/>
        </w:rPr>
        <w:t>年末结转和结余：指单位按有关规定结转到下年或以后年度继续使用的资金，或项目已完成等产生的结余资金。</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4.</w:t>
      </w:r>
      <w:r>
        <w:rPr>
          <w:rFonts w:ascii="宋体" w:hAnsi="宋体"/>
          <w:color w:val="000000"/>
          <w:kern w:val="0"/>
          <w:sz w:val="32"/>
          <w:szCs w:val="32"/>
        </w:rPr>
        <w:t>基本支出：填列单位为保障机构正常运转、完成日常工作任务而发生的各项支出。</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5.</w:t>
      </w:r>
      <w:r>
        <w:rPr>
          <w:rFonts w:ascii="宋体" w:hAnsi="宋体"/>
          <w:color w:val="000000"/>
          <w:kern w:val="0"/>
          <w:sz w:val="32"/>
          <w:szCs w:val="32"/>
        </w:rPr>
        <w:t>项目支出：填列单位为完成特定的行政工作任务或事业发展目标，在基本支出之外发生的各项支出</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6.</w:t>
      </w:r>
      <w:r>
        <w:rPr>
          <w:rFonts w:ascii="宋体" w:hAnsi="宋体"/>
          <w:color w:val="000000"/>
          <w:kern w:val="0"/>
          <w:sz w:val="32"/>
          <w:szCs w:val="32"/>
        </w:rPr>
        <w:t>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7.</w:t>
      </w:r>
      <w:r>
        <w:rPr>
          <w:rFonts w:ascii="宋体" w:hAnsi="宋体"/>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ascii="宋体" w:hAnsi="宋体"/>
          <w:color w:val="000000"/>
          <w:kern w:val="0"/>
          <w:sz w:val="32"/>
          <w:szCs w:val="32"/>
        </w:rPr>
      </w:pPr>
      <w:r>
        <w:rPr>
          <w:rFonts w:hint="eastAsia" w:ascii="宋体" w:hAnsi="宋体"/>
          <w:color w:val="000000"/>
          <w:kern w:val="0"/>
          <w:sz w:val="32"/>
          <w:szCs w:val="32"/>
          <w:lang w:val="en-US" w:eastAsia="zh-CN"/>
        </w:rPr>
        <w:t>8.</w:t>
      </w:r>
      <w:r>
        <w:rPr>
          <w:rFonts w:ascii="宋体" w:hAnsi="宋体"/>
          <w:color w:val="000000"/>
          <w:kern w:val="0"/>
          <w:sz w:val="32"/>
          <w:szCs w:val="32"/>
        </w:rPr>
        <w:t>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pPr>
      <w:r>
        <w:rPr>
          <w:rFonts w:hint="eastAsia" w:ascii="宋体" w:hAnsi="宋体"/>
          <w:color w:val="000000"/>
          <w:kern w:val="0"/>
          <w:sz w:val="32"/>
          <w:szCs w:val="32"/>
          <w:lang w:val="en-US" w:eastAsia="zh-CN"/>
        </w:rPr>
        <w:t>9.</w:t>
      </w:r>
      <w:r>
        <w:rPr>
          <w:rFonts w:ascii="宋体" w:hAnsi="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3"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52DDA"/>
    <w:rsid w:val="001604FA"/>
    <w:rsid w:val="0016794B"/>
    <w:rsid w:val="00184CA6"/>
    <w:rsid w:val="001E60B8"/>
    <w:rsid w:val="00202239"/>
    <w:rsid w:val="002F3336"/>
    <w:rsid w:val="003150B8"/>
    <w:rsid w:val="003623F1"/>
    <w:rsid w:val="00377218"/>
    <w:rsid w:val="003C0A9E"/>
    <w:rsid w:val="003D71C8"/>
    <w:rsid w:val="003F5924"/>
    <w:rsid w:val="00407BDC"/>
    <w:rsid w:val="00461E02"/>
    <w:rsid w:val="00471437"/>
    <w:rsid w:val="00473EB3"/>
    <w:rsid w:val="005370F7"/>
    <w:rsid w:val="00572295"/>
    <w:rsid w:val="00614BE8"/>
    <w:rsid w:val="00630230"/>
    <w:rsid w:val="0066494B"/>
    <w:rsid w:val="00692856"/>
    <w:rsid w:val="006A176D"/>
    <w:rsid w:val="006A5458"/>
    <w:rsid w:val="006C1B5B"/>
    <w:rsid w:val="00831BA3"/>
    <w:rsid w:val="0085225D"/>
    <w:rsid w:val="00886444"/>
    <w:rsid w:val="008A087A"/>
    <w:rsid w:val="00923422"/>
    <w:rsid w:val="00964408"/>
    <w:rsid w:val="009E3B76"/>
    <w:rsid w:val="00A03C80"/>
    <w:rsid w:val="00A23636"/>
    <w:rsid w:val="00AB2588"/>
    <w:rsid w:val="00BC0770"/>
    <w:rsid w:val="00C8035A"/>
    <w:rsid w:val="00D65A71"/>
    <w:rsid w:val="00E20F72"/>
    <w:rsid w:val="00EC7158"/>
    <w:rsid w:val="00F406F4"/>
    <w:rsid w:val="00F73A31"/>
    <w:rsid w:val="00FB130D"/>
    <w:rsid w:val="00FD59D4"/>
    <w:rsid w:val="012F0926"/>
    <w:rsid w:val="059C6798"/>
    <w:rsid w:val="0DA600ED"/>
    <w:rsid w:val="1AE66F7C"/>
    <w:rsid w:val="1D756303"/>
    <w:rsid w:val="36BE0D68"/>
    <w:rsid w:val="4081777D"/>
    <w:rsid w:val="5A123B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8">
    <w:name w:val="纯文本1"/>
    <w:basedOn w:val="1"/>
    <w:uiPriority w:val="0"/>
    <w:pPr>
      <w:widowControl/>
    </w:pPr>
    <w:rPr>
      <w:rFonts w:ascii="宋体" w:hAnsi="宋体"/>
      <w:kern w:val="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15</Pages>
  <Words>934</Words>
  <Characters>5329</Characters>
  <Lines>44</Lines>
  <Paragraphs>12</Paragraphs>
  <TotalTime>13</TotalTime>
  <ScaleCrop>false</ScaleCrop>
  <LinksUpToDate>false</LinksUpToDate>
  <CharactersWithSpaces>6251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无心之言*</cp:lastModifiedBy>
  <cp:lastPrinted>2018-10-10T00:45:00Z</cp:lastPrinted>
  <dcterms:modified xsi:type="dcterms:W3CDTF">2019-01-29T08:33:05Z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